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CF744B8" w:rsidR="000E1E2B" w:rsidRPr="000E4A86" w:rsidRDefault="00E45289" w:rsidP="004C0F4F">
      <w:pPr>
        <w:tabs>
          <w:tab w:val="center" w:pos="4536"/>
          <w:tab w:val="right" w:pos="8280"/>
          <w:tab w:val="right" w:pos="9639"/>
        </w:tabs>
        <w:ind w:right="2"/>
        <w:rPr>
          <w:rFonts w:ascii="Arial" w:hAnsi="Arial" w:cs="Arial"/>
          <w:b/>
          <w:bCs/>
          <w:sz w:val="28"/>
          <w:lang w:eastAsia="zh-CN"/>
        </w:rPr>
      </w:pPr>
      <w:r w:rsidRPr="000E4A86">
        <w:rPr>
          <w:b/>
          <w:lang w:eastAsia="zh-CN"/>
        </w:rPr>
        <w:fldChar w:fldCharType="begin"/>
      </w:r>
      <w:r w:rsidRPr="000E4A86">
        <w:rPr>
          <w:b/>
          <w:lang w:eastAsia="zh-CN"/>
        </w:rPr>
        <w:instrText xml:space="preserve"> MACROBUTTON MTEditEquationSection2 </w:instrText>
      </w:r>
      <w:r w:rsidRPr="000E4A86">
        <w:rPr>
          <w:rStyle w:val="MTEquationSection"/>
        </w:rPr>
        <w:instrText>Equation Chapter 1 Section 1</w:instrText>
      </w:r>
      <w:r w:rsidRPr="000E4A86">
        <w:rPr>
          <w:b/>
          <w:lang w:eastAsia="zh-CN"/>
        </w:rPr>
        <w:fldChar w:fldCharType="begin"/>
      </w:r>
      <w:r w:rsidRPr="000E4A86">
        <w:rPr>
          <w:b/>
          <w:lang w:eastAsia="zh-CN"/>
        </w:rPr>
        <w:instrText xml:space="preserve"> SEQ MTEqn \r \h \* MERGEFORMAT </w:instrText>
      </w:r>
      <w:r w:rsidRPr="000E4A86">
        <w:rPr>
          <w:b/>
          <w:lang w:eastAsia="zh-CN"/>
        </w:rPr>
        <w:fldChar w:fldCharType="end"/>
      </w:r>
      <w:r w:rsidRPr="000E4A86">
        <w:rPr>
          <w:b/>
          <w:lang w:eastAsia="zh-CN"/>
        </w:rPr>
        <w:fldChar w:fldCharType="begin"/>
      </w:r>
      <w:r w:rsidRPr="000E4A86">
        <w:rPr>
          <w:b/>
          <w:lang w:eastAsia="zh-CN"/>
        </w:rPr>
        <w:instrText xml:space="preserve"> SEQ MTSec \r 1 \h \* MERGEFORMAT </w:instrText>
      </w:r>
      <w:r w:rsidRPr="000E4A86">
        <w:rPr>
          <w:b/>
          <w:lang w:eastAsia="zh-CN"/>
        </w:rPr>
        <w:fldChar w:fldCharType="end"/>
      </w:r>
      <w:r w:rsidRPr="000E4A86">
        <w:rPr>
          <w:b/>
          <w:lang w:eastAsia="zh-CN"/>
        </w:rPr>
        <w:fldChar w:fldCharType="begin"/>
      </w:r>
      <w:r w:rsidRPr="000E4A86">
        <w:rPr>
          <w:b/>
          <w:lang w:eastAsia="zh-CN"/>
        </w:rPr>
        <w:instrText xml:space="preserve"> SEQ MTChap \r 1 \h \* MERGEFORMAT </w:instrText>
      </w:r>
      <w:r w:rsidRPr="000E4A86">
        <w:rPr>
          <w:b/>
          <w:lang w:eastAsia="zh-CN"/>
        </w:rPr>
        <w:fldChar w:fldCharType="end"/>
      </w:r>
      <w:r w:rsidRPr="000E4A86">
        <w:rPr>
          <w:b/>
          <w:lang w:eastAsia="zh-CN"/>
        </w:rPr>
        <w:fldChar w:fldCharType="end"/>
      </w:r>
      <w:r w:rsidR="007F2229" w:rsidRPr="000E4A86">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0E4A86">
        <w:rPr>
          <w:rFonts w:ascii="Arial" w:hAnsi="Arial" w:cs="Arial"/>
          <w:b/>
          <w:bCs/>
          <w:sz w:val="28"/>
          <w:lang w:eastAsia="zh-CN"/>
        </w:rPr>
        <w:t>3GPP TSG RAN WG1</w:t>
      </w:r>
      <w:r w:rsidR="00AC0D23" w:rsidRPr="000E4A86">
        <w:rPr>
          <w:rFonts w:ascii="Arial" w:hAnsi="Arial" w:cs="Arial"/>
          <w:b/>
          <w:bCs/>
          <w:sz w:val="28"/>
          <w:lang w:eastAsia="zh-CN"/>
        </w:rPr>
        <w:t xml:space="preserve"> </w:t>
      </w:r>
      <w:r w:rsidR="0093035F" w:rsidRPr="000E4A86">
        <w:rPr>
          <w:rFonts w:ascii="Arial" w:hAnsi="Arial" w:cs="Arial"/>
          <w:b/>
          <w:bCs/>
          <w:sz w:val="28"/>
          <w:lang w:eastAsia="zh-CN"/>
        </w:rPr>
        <w:t>#10</w:t>
      </w:r>
      <w:r w:rsidR="00526C78" w:rsidRPr="000E4A86">
        <w:rPr>
          <w:rFonts w:ascii="Arial" w:hAnsi="Arial" w:cs="Arial"/>
          <w:b/>
          <w:bCs/>
          <w:sz w:val="28"/>
          <w:lang w:eastAsia="zh-CN"/>
        </w:rPr>
        <w:t>7</w:t>
      </w:r>
      <w:r w:rsidR="00CF0F88" w:rsidRPr="000E4A86">
        <w:rPr>
          <w:rFonts w:ascii="Arial" w:hAnsi="Arial" w:cs="Arial"/>
          <w:b/>
          <w:bCs/>
          <w:sz w:val="28"/>
          <w:lang w:eastAsia="zh-CN"/>
        </w:rPr>
        <w:t>-e</w:t>
      </w:r>
      <w:r w:rsidR="000E1E2B" w:rsidRPr="000E4A86">
        <w:rPr>
          <w:rFonts w:ascii="Arial" w:eastAsia="MS Mincho" w:hAnsi="Arial" w:cs="Arial"/>
          <w:b/>
          <w:bCs/>
          <w:sz w:val="28"/>
          <w:lang w:eastAsia="ja-JP"/>
        </w:rPr>
        <w:t xml:space="preserve"> </w:t>
      </w:r>
      <w:r w:rsidR="000E1E2B" w:rsidRPr="000E4A86">
        <w:rPr>
          <w:rFonts w:ascii="Arial" w:hAnsi="Arial" w:cs="Arial"/>
          <w:b/>
          <w:bCs/>
          <w:sz w:val="28"/>
          <w:lang w:eastAsia="zh-CN"/>
        </w:rPr>
        <w:t xml:space="preserve">  </w:t>
      </w:r>
      <w:r w:rsidR="0044682A" w:rsidRPr="000E4A86">
        <w:rPr>
          <w:rFonts w:ascii="Arial" w:hAnsi="Arial" w:cs="Arial"/>
          <w:b/>
          <w:bCs/>
          <w:sz w:val="28"/>
          <w:lang w:eastAsia="zh-CN"/>
        </w:rPr>
        <w:t xml:space="preserve">               </w:t>
      </w:r>
      <w:r w:rsidR="00526C78" w:rsidRPr="000E4A86">
        <w:rPr>
          <w:rFonts w:ascii="Arial" w:hAnsi="Arial" w:cs="Arial"/>
          <w:b/>
          <w:bCs/>
          <w:sz w:val="28"/>
          <w:lang w:eastAsia="zh-CN"/>
        </w:rPr>
        <w:t xml:space="preserve">  </w:t>
      </w:r>
      <w:r w:rsidR="0044682A" w:rsidRPr="000E4A86">
        <w:rPr>
          <w:rFonts w:ascii="Arial" w:hAnsi="Arial" w:cs="Arial"/>
          <w:b/>
          <w:bCs/>
          <w:sz w:val="28"/>
          <w:lang w:eastAsia="zh-CN"/>
        </w:rPr>
        <w:t xml:space="preserve">               </w:t>
      </w:r>
      <w:r w:rsidR="00886C10" w:rsidRPr="000E4A86">
        <w:rPr>
          <w:rFonts w:ascii="Arial" w:hAnsi="Arial" w:cs="Arial"/>
          <w:b/>
          <w:bCs/>
          <w:sz w:val="28"/>
          <w:lang w:eastAsia="zh-CN"/>
        </w:rPr>
        <w:t xml:space="preserve">                </w:t>
      </w:r>
      <w:r w:rsidR="00437E5A" w:rsidRPr="000E4A86">
        <w:rPr>
          <w:rFonts w:ascii="Arial" w:hAnsi="Arial" w:cs="Arial"/>
          <w:b/>
          <w:bCs/>
          <w:sz w:val="28"/>
          <w:lang w:eastAsia="zh-CN"/>
        </w:rPr>
        <w:t>R1-2111092</w:t>
      </w:r>
    </w:p>
    <w:p w14:paraId="04F85B13" w14:textId="3E26AC80" w:rsidR="00681091" w:rsidRPr="000E4A86" w:rsidRDefault="00681091" w:rsidP="00681091">
      <w:pPr>
        <w:tabs>
          <w:tab w:val="center" w:pos="4536"/>
          <w:tab w:val="right" w:pos="9072"/>
        </w:tabs>
        <w:rPr>
          <w:rFonts w:ascii="Arial" w:eastAsia="MS Mincho" w:hAnsi="Arial" w:cs="Arial"/>
          <w:b/>
          <w:bCs/>
          <w:sz w:val="28"/>
          <w:lang w:eastAsia="ja-JP"/>
        </w:rPr>
      </w:pPr>
      <w:bookmarkStart w:id="0" w:name="OLE_LINK13"/>
      <w:bookmarkStart w:id="1" w:name="OLE_LINK14"/>
      <w:r w:rsidRPr="000E4A86">
        <w:rPr>
          <w:rFonts w:ascii="Arial" w:eastAsia="MS Mincho" w:hAnsi="Arial" w:cs="Arial"/>
          <w:b/>
          <w:bCs/>
          <w:sz w:val="28"/>
          <w:lang w:eastAsia="ja-JP"/>
        </w:rPr>
        <w:t xml:space="preserve">e-Meeting, </w:t>
      </w:r>
      <w:r w:rsidR="00526C78" w:rsidRPr="000E4A86">
        <w:rPr>
          <w:rFonts w:ascii="Arial" w:eastAsia="MS Mincho" w:hAnsi="Arial" w:cs="Arial"/>
          <w:b/>
          <w:bCs/>
          <w:sz w:val="28"/>
          <w:lang w:eastAsia="ja-JP"/>
        </w:rPr>
        <w:t>November</w:t>
      </w:r>
      <w:r w:rsidR="00A858D1" w:rsidRPr="000E4A86">
        <w:rPr>
          <w:rFonts w:ascii="Arial" w:eastAsia="MS Mincho" w:hAnsi="Arial" w:cs="Arial"/>
          <w:b/>
          <w:bCs/>
          <w:sz w:val="28"/>
          <w:lang w:eastAsia="ja-JP"/>
        </w:rPr>
        <w:t xml:space="preserve"> 11</w:t>
      </w:r>
      <w:r w:rsidR="00A858D1" w:rsidRPr="000E4A86">
        <w:rPr>
          <w:rFonts w:ascii="Arial" w:eastAsia="MS Mincho" w:hAnsi="Arial" w:cs="Arial"/>
          <w:b/>
          <w:bCs/>
          <w:sz w:val="28"/>
          <w:vertAlign w:val="superscript"/>
          <w:lang w:eastAsia="ja-JP"/>
        </w:rPr>
        <w:t>th</w:t>
      </w:r>
      <w:r w:rsidR="00A858D1" w:rsidRPr="000E4A86">
        <w:rPr>
          <w:rFonts w:ascii="Arial" w:eastAsia="MS Mincho" w:hAnsi="Arial" w:cs="Arial"/>
          <w:b/>
          <w:bCs/>
          <w:sz w:val="28"/>
          <w:lang w:eastAsia="ja-JP"/>
        </w:rPr>
        <w:t xml:space="preserve"> – 19</w:t>
      </w:r>
      <w:r w:rsidR="00A858D1" w:rsidRPr="000E4A86">
        <w:rPr>
          <w:rFonts w:ascii="Arial" w:eastAsia="MS Mincho" w:hAnsi="Arial" w:cs="Arial"/>
          <w:b/>
          <w:bCs/>
          <w:sz w:val="28"/>
          <w:vertAlign w:val="superscript"/>
          <w:lang w:eastAsia="ja-JP"/>
        </w:rPr>
        <w:t>th</w:t>
      </w:r>
      <w:r w:rsidR="00A858D1" w:rsidRPr="000E4A86">
        <w:rPr>
          <w:rFonts w:ascii="Arial" w:eastAsia="MS Mincho" w:hAnsi="Arial" w:cs="Arial"/>
          <w:b/>
          <w:bCs/>
          <w:sz w:val="28"/>
          <w:lang w:eastAsia="ja-JP"/>
        </w:rPr>
        <w:t>, 2021</w:t>
      </w:r>
    </w:p>
    <w:bookmarkEnd w:id="0"/>
    <w:bookmarkEnd w:id="1"/>
    <w:p w14:paraId="2AC53D6F" w14:textId="77777777" w:rsidR="003C346D" w:rsidRPr="000E4A86" w:rsidRDefault="003C346D" w:rsidP="004C0F4F">
      <w:pPr>
        <w:pBdr>
          <w:top w:val="single" w:sz="4" w:space="0" w:color="auto"/>
        </w:pBdr>
        <w:spacing w:after="0"/>
        <w:rPr>
          <w:b/>
          <w:bCs/>
          <w:sz w:val="16"/>
          <w:szCs w:val="16"/>
        </w:rPr>
      </w:pPr>
    </w:p>
    <w:p w14:paraId="6BD290DB" w14:textId="0732EF82" w:rsidR="003C346D" w:rsidRPr="000E4A86" w:rsidRDefault="003C346D" w:rsidP="004C0F4F">
      <w:pPr>
        <w:spacing w:after="60"/>
        <w:ind w:left="1555" w:hanging="1555"/>
        <w:rPr>
          <w:rFonts w:eastAsia="MS PGothic"/>
          <w:b/>
          <w:lang w:eastAsia="zh-CN"/>
        </w:rPr>
      </w:pPr>
      <w:r w:rsidRPr="000E4A86">
        <w:rPr>
          <w:b/>
        </w:rPr>
        <w:t>Agenda Item:</w:t>
      </w:r>
      <w:r w:rsidRPr="000E4A86">
        <w:rPr>
          <w:b/>
        </w:rPr>
        <w:tab/>
      </w:r>
      <w:r w:rsidR="00184537" w:rsidRPr="000E4A86">
        <w:rPr>
          <w:b/>
        </w:rPr>
        <w:t>8.</w:t>
      </w:r>
      <w:r w:rsidR="00437E5A" w:rsidRPr="000E4A86">
        <w:rPr>
          <w:b/>
        </w:rPr>
        <w:t>2</w:t>
      </w:r>
      <w:r w:rsidR="001362CB" w:rsidRPr="000E4A86">
        <w:rPr>
          <w:b/>
        </w:rPr>
        <w:t>.</w:t>
      </w:r>
      <w:r w:rsidR="00A858D1" w:rsidRPr="000E4A86">
        <w:rPr>
          <w:rFonts w:hint="eastAsia"/>
          <w:b/>
          <w:lang w:eastAsia="zh-CN"/>
        </w:rPr>
        <w:t>2</w:t>
      </w:r>
    </w:p>
    <w:p w14:paraId="080C10FB" w14:textId="77777777" w:rsidR="003C346D" w:rsidRPr="000E4A86" w:rsidRDefault="00997F89" w:rsidP="004C0F4F">
      <w:pPr>
        <w:spacing w:after="60"/>
        <w:ind w:left="1555" w:hanging="1555"/>
        <w:rPr>
          <w:b/>
          <w:lang w:eastAsia="zh-CN"/>
        </w:rPr>
      </w:pPr>
      <w:r w:rsidRPr="000E4A86">
        <w:rPr>
          <w:b/>
        </w:rPr>
        <w:t>Source:</w:t>
      </w:r>
      <w:r w:rsidRPr="000E4A86">
        <w:rPr>
          <w:b/>
        </w:rPr>
        <w:tab/>
      </w:r>
      <w:r w:rsidR="003C1CED" w:rsidRPr="000E4A86">
        <w:rPr>
          <w:b/>
          <w:lang w:eastAsia="zh-CN"/>
        </w:rPr>
        <w:t>Spreadtrum Communications</w:t>
      </w:r>
    </w:p>
    <w:p w14:paraId="51F4248E" w14:textId="1A88D7D5" w:rsidR="003C346D" w:rsidRPr="000E4A86" w:rsidRDefault="003C346D" w:rsidP="004C0F4F">
      <w:pPr>
        <w:spacing w:after="60"/>
        <w:ind w:left="1555" w:hanging="1555"/>
        <w:rPr>
          <w:b/>
          <w:lang w:eastAsia="zh-CN"/>
        </w:rPr>
      </w:pPr>
      <w:r w:rsidRPr="000E4A86">
        <w:rPr>
          <w:b/>
        </w:rPr>
        <w:t>Title:</w:t>
      </w:r>
      <w:r w:rsidRPr="000E4A86">
        <w:rPr>
          <w:b/>
        </w:rPr>
        <w:tab/>
      </w:r>
      <w:r w:rsidR="00437E5A" w:rsidRPr="000E4A86">
        <w:rPr>
          <w:b/>
        </w:rPr>
        <w:t>Discussion on the PDCCH monitoring enhancements for above 52.6GHz</w:t>
      </w:r>
    </w:p>
    <w:p w14:paraId="1E2B3E58" w14:textId="77777777" w:rsidR="003C346D" w:rsidRPr="000E4A86" w:rsidRDefault="003C346D" w:rsidP="004C0F4F">
      <w:pPr>
        <w:spacing w:after="60"/>
        <w:ind w:left="1555" w:hanging="1555"/>
        <w:rPr>
          <w:b/>
        </w:rPr>
      </w:pPr>
      <w:r w:rsidRPr="000E4A86">
        <w:rPr>
          <w:b/>
        </w:rPr>
        <w:t>Document for:</w:t>
      </w:r>
      <w:r w:rsidRPr="000E4A86">
        <w:rPr>
          <w:b/>
        </w:rPr>
        <w:tab/>
      </w:r>
      <w:r w:rsidR="00D507E5" w:rsidRPr="000E4A86">
        <w:rPr>
          <w:b/>
        </w:rPr>
        <w:t>Discussion</w:t>
      </w:r>
      <w:r w:rsidR="00A14304" w:rsidRPr="000E4A86">
        <w:rPr>
          <w:b/>
        </w:rPr>
        <w:t xml:space="preserve"> and decision</w:t>
      </w:r>
    </w:p>
    <w:p w14:paraId="7C0378E0" w14:textId="77777777" w:rsidR="009C0564" w:rsidRPr="000E4A86" w:rsidRDefault="009C0564" w:rsidP="004C0F4F">
      <w:pPr>
        <w:pBdr>
          <w:bottom w:val="single" w:sz="4" w:space="1" w:color="auto"/>
        </w:pBdr>
        <w:spacing w:after="0"/>
        <w:rPr>
          <w:b/>
          <w:sz w:val="16"/>
          <w:szCs w:val="16"/>
        </w:rPr>
      </w:pPr>
    </w:p>
    <w:p w14:paraId="2C413172" w14:textId="77777777" w:rsidR="00B552AD" w:rsidRPr="000E4A86" w:rsidRDefault="00B552AD" w:rsidP="004C0F4F">
      <w:pPr>
        <w:pStyle w:val="1"/>
        <w:rPr>
          <w:lang w:eastAsia="zh-CN"/>
        </w:rPr>
      </w:pPr>
      <w:r w:rsidRPr="000E4A86">
        <w:rPr>
          <w:lang w:eastAsia="zh-CN"/>
        </w:rPr>
        <w:t>Introduction</w:t>
      </w:r>
    </w:p>
    <w:p w14:paraId="4770ED22" w14:textId="41EB71DE" w:rsidR="005F14B1" w:rsidRPr="000E4A86" w:rsidRDefault="00E23863" w:rsidP="000F7446">
      <w:r w:rsidRPr="000E4A86">
        <w:rPr>
          <w:lang w:eastAsia="zh-CN"/>
        </w:rPr>
        <w:t>In the last RAN#1 meeting,</w:t>
      </w:r>
      <w:r w:rsidRPr="000E4A86">
        <w:t xml:space="preserve"> </w:t>
      </w:r>
      <w:r w:rsidR="00DE5BB0" w:rsidRPr="000E4A86">
        <w:t>PDCCH monitoring enhancements for above 52.6GHz</w:t>
      </w:r>
      <w:r w:rsidRPr="000E4A86">
        <w:t xml:space="preserve"> </w:t>
      </w:r>
      <w:r w:rsidR="00AF2180" w:rsidRPr="000E4A86">
        <w:t>were discussed</w:t>
      </w:r>
      <w:r w:rsidRPr="000E4A86">
        <w:rPr>
          <w:lang w:eastAsia="zh-CN"/>
        </w:rPr>
        <w:t xml:space="preserve">, </w:t>
      </w:r>
      <w:r w:rsidR="00AF2180" w:rsidRPr="000E4A86">
        <w:rPr>
          <w:lang w:eastAsia="zh-CN"/>
        </w:rPr>
        <w:t xml:space="preserve">and </w:t>
      </w:r>
      <w:r w:rsidR="005F14B1" w:rsidRPr="000E4A86">
        <w:rPr>
          <w:lang w:eastAsia="zh-CN"/>
        </w:rPr>
        <w:t xml:space="preserve">the following </w:t>
      </w:r>
      <w:r w:rsidR="00DE5BB0" w:rsidRPr="000E4A86">
        <w:rPr>
          <w:rFonts w:hint="eastAsia"/>
          <w:lang w:eastAsia="zh-CN"/>
        </w:rPr>
        <w:t>agreement</w:t>
      </w:r>
      <w:r w:rsidR="005F14B1" w:rsidRPr="000E4A86">
        <w:rPr>
          <w:lang w:eastAsia="zh-CN"/>
        </w:rPr>
        <w:t xml:space="preserve"> </w:t>
      </w:r>
      <w:r w:rsidR="00DE5BB0" w:rsidRPr="000E4A86">
        <w:rPr>
          <w:lang w:eastAsia="zh-CN"/>
        </w:rPr>
        <w:t>was</w:t>
      </w:r>
      <w:r w:rsidR="005F14B1" w:rsidRPr="000E4A86">
        <w:rPr>
          <w:lang w:eastAsia="zh-CN"/>
        </w:rPr>
        <w:t xml:space="preserve"> achieved [</w:t>
      </w:r>
      <w:r w:rsidR="00526C78" w:rsidRPr="000E4A86">
        <w:rPr>
          <w:lang w:eastAsia="zh-CN"/>
        </w:rPr>
        <w:t>1</w:t>
      </w:r>
      <w:r w:rsidR="005F14B1" w:rsidRPr="000E4A86">
        <w:rPr>
          <w:lang w:eastAsia="zh-CN"/>
        </w:rPr>
        <w:t>].</w:t>
      </w:r>
    </w:p>
    <w:tbl>
      <w:tblPr>
        <w:tblStyle w:val="ae"/>
        <w:tblW w:w="0" w:type="auto"/>
        <w:tblLook w:val="04A0" w:firstRow="1" w:lastRow="0" w:firstColumn="1" w:lastColumn="0" w:noHBand="0" w:noVBand="1"/>
      </w:tblPr>
      <w:tblGrid>
        <w:gridCol w:w="9307"/>
      </w:tblGrid>
      <w:tr w:rsidR="005F14B1" w:rsidRPr="000E4A86" w14:paraId="77CB6353" w14:textId="77777777" w:rsidTr="0010020A">
        <w:tc>
          <w:tcPr>
            <w:tcW w:w="9307" w:type="dxa"/>
          </w:tcPr>
          <w:p w14:paraId="3A081719" w14:textId="77777777" w:rsidR="00437E5A" w:rsidRPr="000E4A86" w:rsidRDefault="00437E5A" w:rsidP="002F1E24">
            <w:pPr>
              <w:spacing w:after="0"/>
              <w:rPr>
                <w:lang w:eastAsia="x-none"/>
              </w:rPr>
            </w:pPr>
            <w:r w:rsidRPr="000E4A86">
              <w:rPr>
                <w:lang w:eastAsia="x-none"/>
              </w:rPr>
              <w:t>Agreement:</w:t>
            </w:r>
          </w:p>
          <w:p w14:paraId="636AFDE2" w14:textId="77777777" w:rsidR="00437E5A" w:rsidRPr="000E4A86" w:rsidRDefault="00437E5A" w:rsidP="002F1E24">
            <w:pPr>
              <w:numPr>
                <w:ilvl w:val="0"/>
                <w:numId w:val="33"/>
              </w:numPr>
              <w:autoSpaceDE/>
              <w:autoSpaceDN/>
              <w:adjustRightInd/>
              <w:snapToGrid/>
              <w:spacing w:after="0"/>
              <w:jc w:val="left"/>
              <w:rPr>
                <w:b/>
                <w:bCs/>
                <w:lang w:eastAsia="x-none"/>
              </w:rPr>
            </w:pPr>
            <w:r w:rsidRPr="000E4A86">
              <w:rPr>
                <w:lang w:eastAsia="x-none"/>
              </w:rPr>
              <w:t>Multi-slot PDCCH monitoring is based on slots within a slot group</w:t>
            </w:r>
          </w:p>
          <w:p w14:paraId="1A9AC535" w14:textId="77777777" w:rsidR="00437E5A" w:rsidRPr="000E4A86" w:rsidRDefault="00437E5A" w:rsidP="002F1E24">
            <w:pPr>
              <w:numPr>
                <w:ilvl w:val="1"/>
                <w:numId w:val="33"/>
              </w:numPr>
              <w:autoSpaceDE/>
              <w:autoSpaceDN/>
              <w:adjustRightInd/>
              <w:snapToGrid/>
              <w:spacing w:after="0"/>
              <w:jc w:val="left"/>
              <w:rPr>
                <w:lang w:eastAsia="x-none"/>
              </w:rPr>
            </w:pPr>
            <w:r w:rsidRPr="000E4A86">
              <w:rPr>
                <w:lang w:eastAsia="x-none"/>
              </w:rPr>
              <w:t>Each slot group consists of X consecutive slots</w:t>
            </w:r>
          </w:p>
          <w:p w14:paraId="3E8C50A1"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Slot groups are consecutive and non-overlapping</w:t>
            </w:r>
          </w:p>
          <w:p w14:paraId="27FE0A2E"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The start of the first slot group in a subframe is aligned with the subframe boundary</w:t>
            </w:r>
          </w:p>
          <w:p w14:paraId="57D94A72"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The start of each slot group is aligned with a slot boundary</w:t>
            </w:r>
          </w:p>
          <w:p w14:paraId="4609D90C"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Reporting the BD/CCE budget for X=4/8 slots (for 480/960 kHz resp.) is mandatory (if UE supports the corresponding SCS), and is optional for X=[2]/4 slots (for 480/960 kHz resp.)</w:t>
            </w:r>
          </w:p>
          <w:p w14:paraId="02D86ED7" w14:textId="77777777" w:rsidR="00437E5A" w:rsidRPr="000E4A86" w:rsidRDefault="00437E5A" w:rsidP="002F1E24">
            <w:pPr>
              <w:numPr>
                <w:ilvl w:val="0"/>
                <w:numId w:val="33"/>
              </w:numPr>
              <w:autoSpaceDE/>
              <w:autoSpaceDN/>
              <w:adjustRightInd/>
              <w:snapToGrid/>
              <w:spacing w:after="0"/>
              <w:jc w:val="left"/>
              <w:rPr>
                <w:lang w:eastAsia="x-none"/>
              </w:rPr>
            </w:pPr>
            <w:r w:rsidRPr="000E4A86">
              <w:rPr>
                <w:lang w:eastAsia="x-none"/>
              </w:rPr>
              <w:t>There is a common BD budget for all search spaces</w:t>
            </w:r>
          </w:p>
          <w:p w14:paraId="4420DA8A" w14:textId="77777777" w:rsidR="00437E5A" w:rsidRPr="000E4A86" w:rsidRDefault="00437E5A" w:rsidP="002F1E24">
            <w:pPr>
              <w:numPr>
                <w:ilvl w:val="0"/>
                <w:numId w:val="33"/>
              </w:numPr>
              <w:autoSpaceDE/>
              <w:autoSpaceDN/>
              <w:adjustRightInd/>
              <w:snapToGrid/>
              <w:spacing w:after="0"/>
              <w:jc w:val="left"/>
              <w:rPr>
                <w:lang w:eastAsia="x-none"/>
              </w:rPr>
            </w:pPr>
            <w:r w:rsidRPr="000E4A86">
              <w:rPr>
                <w:lang w:eastAsia="x-none"/>
              </w:rPr>
              <w:t>FFS: Search space configuration</w:t>
            </w:r>
          </w:p>
          <w:p w14:paraId="3B6CAEF6" w14:textId="77777777" w:rsidR="00437E5A" w:rsidRPr="000E4A86" w:rsidRDefault="00437E5A" w:rsidP="002F1E24">
            <w:pPr>
              <w:numPr>
                <w:ilvl w:val="1"/>
                <w:numId w:val="33"/>
              </w:numPr>
              <w:autoSpaceDE/>
              <w:autoSpaceDN/>
              <w:adjustRightInd/>
              <w:snapToGrid/>
              <w:spacing w:after="0"/>
              <w:jc w:val="left"/>
              <w:rPr>
                <w:lang w:eastAsia="x-none"/>
              </w:rPr>
            </w:pPr>
            <w:r w:rsidRPr="000E4A86">
              <w:rPr>
                <w:rFonts w:hint="eastAsia"/>
                <w:lang w:eastAsia="x-none"/>
              </w:rPr>
              <w:t>F</w:t>
            </w:r>
            <w:r w:rsidRPr="000E4A86">
              <w:rPr>
                <w:lang w:eastAsia="x-none"/>
              </w:rPr>
              <w:t>or Group (1) SS</w:t>
            </w:r>
          </w:p>
          <w:p w14:paraId="5380E124"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A SS is configured to be within Y</w:t>
            </w:r>
            <w:r w:rsidRPr="000E4A86">
              <w:rPr>
                <w:vertAlign w:val="subscript"/>
                <w:lang w:eastAsia="x-none"/>
              </w:rPr>
              <w:t>Group1</w:t>
            </w:r>
            <w:r w:rsidRPr="000E4A86">
              <w:rPr>
                <w:lang w:eastAsia="x-none"/>
              </w:rPr>
              <w:t xml:space="preserve"> consecutive slots within a slot group of X slots</w:t>
            </w:r>
          </w:p>
          <w:p w14:paraId="124A10C0"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The location of the Y</w:t>
            </w:r>
            <w:r w:rsidRPr="000E4A86">
              <w:rPr>
                <w:vertAlign w:val="subscript"/>
                <w:lang w:eastAsia="x-none"/>
              </w:rPr>
              <w:t>Group1</w:t>
            </w:r>
            <w:r w:rsidRPr="000E4A86">
              <w:rPr>
                <w:lang w:eastAsia="x-none"/>
              </w:rPr>
              <w:t xml:space="preserve"> consecutive slots within a slot group of X slots is based on a time offset within the slot group based on slot index n0 determined for Group (2) monitoring such that the Y</w:t>
            </w:r>
            <w:r w:rsidRPr="000E4A86">
              <w:rPr>
                <w:vertAlign w:val="subscript"/>
                <w:lang w:eastAsia="x-none"/>
              </w:rPr>
              <w:t>Group1</w:t>
            </w:r>
            <w:r w:rsidRPr="000E4A86">
              <w:rPr>
                <w:lang w:eastAsia="x-none"/>
              </w:rPr>
              <w:t xml:space="preserve"> slots overlap the Y</w:t>
            </w:r>
            <w:r w:rsidRPr="000E4A86">
              <w:rPr>
                <w:vertAlign w:val="subscript"/>
                <w:lang w:eastAsia="x-none"/>
              </w:rPr>
              <w:t>Group2</w:t>
            </w:r>
            <w:r w:rsidRPr="000E4A86">
              <w:rPr>
                <w:lang w:eastAsia="x-none"/>
              </w:rPr>
              <w:t xml:space="preserve"> slots</w:t>
            </w:r>
          </w:p>
          <w:p w14:paraId="3E715417"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The location of the Y</w:t>
            </w:r>
            <w:r w:rsidRPr="000E4A86">
              <w:rPr>
                <w:vertAlign w:val="subscript"/>
                <w:lang w:eastAsia="x-none"/>
              </w:rPr>
              <w:t>Group1</w:t>
            </w:r>
            <w:r w:rsidRPr="000E4A86">
              <w:rPr>
                <w:lang w:eastAsia="x-none"/>
              </w:rPr>
              <w:t xml:space="preserve"> consecutive slots within a slot group of X slots is maintained across different slot groups (unless n0 changes)</w:t>
            </w:r>
          </w:p>
          <w:p w14:paraId="1CB3D4FE"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BD attempts for all Group (1) SSs are restricted to fall within the same Y</w:t>
            </w:r>
            <w:r w:rsidRPr="000E4A86">
              <w:rPr>
                <w:vertAlign w:val="subscript"/>
                <w:lang w:eastAsia="x-none"/>
              </w:rPr>
              <w:t>Group1</w:t>
            </w:r>
            <w:r w:rsidRPr="000E4A86">
              <w:rPr>
                <w:lang w:eastAsia="x-none"/>
              </w:rPr>
              <w:t xml:space="preserve"> consecutive slots</w:t>
            </w:r>
          </w:p>
          <w:p w14:paraId="39FED78F" w14:textId="77777777" w:rsidR="00437E5A" w:rsidRPr="000E4A86" w:rsidRDefault="00437E5A" w:rsidP="002F1E24">
            <w:pPr>
              <w:numPr>
                <w:ilvl w:val="1"/>
                <w:numId w:val="33"/>
              </w:numPr>
              <w:autoSpaceDE/>
              <w:autoSpaceDN/>
              <w:adjustRightInd/>
              <w:snapToGrid/>
              <w:spacing w:after="0"/>
              <w:jc w:val="left"/>
              <w:rPr>
                <w:lang w:eastAsia="x-none"/>
              </w:rPr>
            </w:pPr>
            <w:r w:rsidRPr="000E4A86">
              <w:rPr>
                <w:rFonts w:hint="eastAsia"/>
                <w:lang w:eastAsia="x-none"/>
              </w:rPr>
              <w:t>F</w:t>
            </w:r>
            <w:r w:rsidRPr="000E4A86">
              <w:rPr>
                <w:lang w:eastAsia="x-none"/>
              </w:rPr>
              <w:t>or Group (2) SS</w:t>
            </w:r>
          </w:p>
          <w:p w14:paraId="00A06723"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A SS is configured to be within Y</w:t>
            </w:r>
            <w:r w:rsidRPr="000E4A86">
              <w:rPr>
                <w:vertAlign w:val="subscript"/>
                <w:lang w:eastAsia="x-none"/>
              </w:rPr>
              <w:t>Group2</w:t>
            </w:r>
            <w:r w:rsidRPr="000E4A86">
              <w:rPr>
                <w:lang w:eastAsia="x-none"/>
              </w:rPr>
              <w:t xml:space="preserve"> consecutive slots within a slot group of X slots</w:t>
            </w:r>
          </w:p>
          <w:p w14:paraId="24A1698E"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The location of the Y</w:t>
            </w:r>
            <w:r w:rsidRPr="000E4A86">
              <w:rPr>
                <w:vertAlign w:val="subscript"/>
                <w:lang w:eastAsia="x-none"/>
              </w:rPr>
              <w:t>Group2</w:t>
            </w:r>
            <w:r w:rsidRPr="000E4A86">
              <w:rPr>
                <w:lang w:eastAsia="x-none"/>
              </w:rPr>
              <w:t xml:space="preserve"> consecutive slots within a slot group of X slots is maintained across different slot groups (unless n0 changes)</w:t>
            </w:r>
          </w:p>
          <w:p w14:paraId="5F5B3D22" w14:textId="77777777" w:rsidR="00437E5A" w:rsidRPr="000E4A86" w:rsidRDefault="00437E5A" w:rsidP="002F1E24">
            <w:pPr>
              <w:numPr>
                <w:ilvl w:val="1"/>
                <w:numId w:val="33"/>
              </w:numPr>
              <w:autoSpaceDE/>
              <w:autoSpaceDN/>
              <w:adjustRightInd/>
              <w:snapToGrid/>
              <w:spacing w:after="0"/>
              <w:jc w:val="left"/>
              <w:rPr>
                <w:lang w:eastAsia="x-none"/>
              </w:rPr>
            </w:pPr>
            <w:r w:rsidRPr="000E4A86">
              <w:rPr>
                <w:lang w:eastAsia="x-none"/>
              </w:rPr>
              <w:t>The reported capability indicates the BD/CCE budget within Y=max(Y</w:t>
            </w:r>
            <w:r w:rsidRPr="000E4A86">
              <w:rPr>
                <w:vertAlign w:val="subscript"/>
                <w:lang w:eastAsia="x-none"/>
              </w:rPr>
              <w:t>Group1</w:t>
            </w:r>
            <w:r w:rsidRPr="000E4A86">
              <w:rPr>
                <w:lang w:eastAsia="x-none"/>
              </w:rPr>
              <w:t>, 2) slots per slot group</w:t>
            </w:r>
          </w:p>
          <w:p w14:paraId="4A4530CF" w14:textId="77777777" w:rsidR="00437E5A" w:rsidRPr="000E4A86" w:rsidRDefault="00437E5A" w:rsidP="002F1E24">
            <w:pPr>
              <w:numPr>
                <w:ilvl w:val="1"/>
                <w:numId w:val="33"/>
              </w:numPr>
              <w:autoSpaceDE/>
              <w:autoSpaceDN/>
              <w:adjustRightInd/>
              <w:snapToGrid/>
              <w:spacing w:after="0"/>
              <w:jc w:val="left"/>
              <w:rPr>
                <w:lang w:eastAsia="x-none"/>
              </w:rPr>
            </w:pPr>
            <w:r w:rsidRPr="000E4A86">
              <w:rPr>
                <w:lang w:eastAsia="x-none"/>
              </w:rPr>
              <w:t>Support the following values of Y</w:t>
            </w:r>
            <w:r w:rsidRPr="000E4A86">
              <w:rPr>
                <w:vertAlign w:val="subscript"/>
                <w:lang w:eastAsia="x-none"/>
              </w:rPr>
              <w:t>Group1</w:t>
            </w:r>
            <w:r w:rsidRPr="000E4A86">
              <w:rPr>
                <w:lang w:eastAsia="x-none"/>
              </w:rPr>
              <w:t xml:space="preserve"> and Y</w:t>
            </w:r>
            <w:r w:rsidRPr="000E4A86">
              <w:rPr>
                <w:vertAlign w:val="subscript"/>
                <w:lang w:eastAsia="x-none"/>
              </w:rPr>
              <w:t>Group2</w:t>
            </w:r>
          </w:p>
          <w:p w14:paraId="5B6E4320"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For X=8: (Y</w:t>
            </w:r>
            <w:r w:rsidRPr="000E4A86">
              <w:rPr>
                <w:vertAlign w:val="subscript"/>
                <w:lang w:eastAsia="x-none"/>
              </w:rPr>
              <w:t>Group1</w:t>
            </w:r>
            <w:r w:rsidRPr="000E4A86">
              <w:rPr>
                <w:lang w:eastAsia="x-none"/>
              </w:rPr>
              <w:t>,Y</w:t>
            </w:r>
            <w:r w:rsidRPr="000E4A86">
              <w:rPr>
                <w:vertAlign w:val="subscript"/>
                <w:lang w:eastAsia="x-none"/>
              </w:rPr>
              <w:t>Group2</w:t>
            </w:r>
            <w:r w:rsidRPr="000E4A86">
              <w:rPr>
                <w:lang w:eastAsia="x-none"/>
              </w:rPr>
              <w:t>) = (4,2), (2,2), (1,[1 or 2])</w:t>
            </w:r>
          </w:p>
          <w:p w14:paraId="3011F8DE"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For X=4: (Y</w:t>
            </w:r>
            <w:r w:rsidRPr="000E4A86">
              <w:rPr>
                <w:vertAlign w:val="subscript"/>
                <w:lang w:eastAsia="x-none"/>
              </w:rPr>
              <w:t>Group1</w:t>
            </w:r>
            <w:r w:rsidRPr="000E4A86">
              <w:rPr>
                <w:lang w:eastAsia="x-none"/>
              </w:rPr>
              <w:t>,Y</w:t>
            </w:r>
            <w:r w:rsidRPr="000E4A86">
              <w:rPr>
                <w:vertAlign w:val="subscript"/>
                <w:lang w:eastAsia="x-none"/>
              </w:rPr>
              <w:t>Group2</w:t>
            </w:r>
            <w:r w:rsidRPr="000E4A86">
              <w:rPr>
                <w:lang w:eastAsia="x-none"/>
              </w:rPr>
              <w:t>) = (2,2), (1,[1 or 2])</w:t>
            </w:r>
          </w:p>
          <w:p w14:paraId="3C85391C" w14:textId="77777777" w:rsidR="00437E5A" w:rsidRPr="000E4A86" w:rsidRDefault="00437E5A" w:rsidP="002F1E24">
            <w:pPr>
              <w:numPr>
                <w:ilvl w:val="2"/>
                <w:numId w:val="33"/>
              </w:numPr>
              <w:autoSpaceDE/>
              <w:autoSpaceDN/>
              <w:adjustRightInd/>
              <w:snapToGrid/>
              <w:spacing w:after="0"/>
              <w:jc w:val="left"/>
              <w:rPr>
                <w:lang w:eastAsia="x-none"/>
              </w:rPr>
            </w:pPr>
            <w:r w:rsidRPr="000E4A86">
              <w:rPr>
                <w:lang w:eastAsia="x-none"/>
              </w:rPr>
              <w:t>For X=2: (Y</w:t>
            </w:r>
            <w:r w:rsidRPr="000E4A86">
              <w:rPr>
                <w:vertAlign w:val="subscript"/>
                <w:lang w:eastAsia="x-none"/>
              </w:rPr>
              <w:t>Group1</w:t>
            </w:r>
            <w:r w:rsidRPr="000E4A86">
              <w:rPr>
                <w:lang w:eastAsia="x-none"/>
              </w:rPr>
              <w:t>,Y</w:t>
            </w:r>
            <w:r w:rsidRPr="000E4A86">
              <w:rPr>
                <w:vertAlign w:val="subscript"/>
                <w:lang w:eastAsia="x-none"/>
              </w:rPr>
              <w:t>Group2</w:t>
            </w:r>
            <w:r w:rsidRPr="000E4A86">
              <w:rPr>
                <w:lang w:eastAsia="x-none"/>
              </w:rPr>
              <w:t>) = (1,[1 or 2])</w:t>
            </w:r>
          </w:p>
          <w:p w14:paraId="5DECC68E" w14:textId="77777777" w:rsidR="00437E5A" w:rsidRPr="000E4A86" w:rsidRDefault="00437E5A" w:rsidP="002F1E24">
            <w:pPr>
              <w:spacing w:after="0"/>
              <w:rPr>
                <w:lang w:eastAsia="x-none"/>
              </w:rPr>
            </w:pPr>
            <w:r w:rsidRPr="000E4A86">
              <w:rPr>
                <w:lang w:eastAsia="x-none"/>
              </w:rPr>
              <w:t>Group (1) SS: Type 1 CSS with dedicated RRC configuration and type 3 CSS, UE specific SS</w:t>
            </w:r>
          </w:p>
          <w:p w14:paraId="6FCBC82D" w14:textId="44B01C80" w:rsidR="00B41E7E" w:rsidRPr="000E4A86" w:rsidRDefault="00437E5A" w:rsidP="002F1E24">
            <w:pPr>
              <w:spacing w:after="0"/>
              <w:rPr>
                <w:lang w:eastAsia="x-none"/>
              </w:rPr>
            </w:pPr>
            <w:r w:rsidRPr="000E4A86">
              <w:rPr>
                <w:lang w:eastAsia="x-none"/>
              </w:rPr>
              <w:t>Group (2) SS: Type 1 CSS without dedicated RRC configuration and type 0, 0A, and 2 CSS</w:t>
            </w:r>
          </w:p>
        </w:tc>
      </w:tr>
    </w:tbl>
    <w:p w14:paraId="6182280F" w14:textId="0BF37E47" w:rsidR="00E71E64" w:rsidRPr="000E4A86" w:rsidRDefault="005F14B1" w:rsidP="001362CB">
      <w:pPr>
        <w:rPr>
          <w:lang w:eastAsia="zh-CN"/>
        </w:rPr>
      </w:pPr>
      <w:r w:rsidRPr="000E4A86">
        <w:rPr>
          <w:lang w:eastAsia="zh-CN"/>
        </w:rPr>
        <w:t xml:space="preserve">In this contribution, we </w:t>
      </w:r>
      <w:r w:rsidR="004F42BC" w:rsidRPr="000E4A86">
        <w:rPr>
          <w:lang w:eastAsia="zh-CN"/>
        </w:rPr>
        <w:t xml:space="preserve">further </w:t>
      </w:r>
      <w:r w:rsidR="00437E5A" w:rsidRPr="000E4A86">
        <w:rPr>
          <w:lang w:eastAsia="zh-CN"/>
        </w:rPr>
        <w:t>discuss the PDCCH monitoring enhancements for above 52.6GHz</w:t>
      </w:r>
      <w:r w:rsidRPr="000E4A86">
        <w:rPr>
          <w:rFonts w:hint="eastAsia"/>
          <w:lang w:eastAsia="zh-CN"/>
        </w:rPr>
        <w:t>.</w:t>
      </w:r>
    </w:p>
    <w:p w14:paraId="7720EB26" w14:textId="77777777" w:rsidR="00DA27B5" w:rsidRPr="000E4A86" w:rsidRDefault="00DA27B5" w:rsidP="001362CB">
      <w:pPr>
        <w:rPr>
          <w:lang w:eastAsia="zh-CN"/>
        </w:rPr>
      </w:pPr>
    </w:p>
    <w:p w14:paraId="12BB0CD4" w14:textId="12086B21" w:rsidR="007628B3" w:rsidRPr="000E4A86" w:rsidRDefault="001362CB" w:rsidP="004C0F4F">
      <w:pPr>
        <w:pStyle w:val="1"/>
      </w:pPr>
      <w:bookmarkStart w:id="2" w:name="OLE_LINK1"/>
      <w:bookmarkStart w:id="3" w:name="OLE_LINK2"/>
      <w:r w:rsidRPr="000E4A86">
        <w:lastRenderedPageBreak/>
        <w:t>Discussion</w:t>
      </w:r>
    </w:p>
    <w:p w14:paraId="2F41D09F" w14:textId="4457FAAD" w:rsidR="00DE5BB0" w:rsidRPr="000E4A86" w:rsidRDefault="00EF4A25" w:rsidP="00754DCD">
      <w:pPr>
        <w:pStyle w:val="20"/>
        <w:widowControl w:val="0"/>
        <w:numPr>
          <w:ilvl w:val="1"/>
          <w:numId w:val="35"/>
        </w:numPr>
        <w:tabs>
          <w:tab w:val="num" w:pos="576"/>
        </w:tabs>
        <w:autoSpaceDE/>
        <w:autoSpaceDN/>
        <w:adjustRightInd/>
        <w:snapToGrid/>
        <w:ind w:left="578" w:hanging="578"/>
        <w:jc w:val="left"/>
      </w:pPr>
      <w:bookmarkStart w:id="4" w:name="OLE_LINK3"/>
      <w:bookmarkStart w:id="5" w:name="OLE_LINK4"/>
      <w:bookmarkEnd w:id="2"/>
      <w:bookmarkEnd w:id="3"/>
      <w:r w:rsidRPr="000E4A86">
        <w:rPr>
          <w:lang w:val="en-GB" w:eastAsia="zh-CN"/>
        </w:rPr>
        <w:t>PDCCH candidate dropping</w:t>
      </w:r>
      <w:r w:rsidR="00DE5BB0" w:rsidRPr="000E4A86">
        <w:t xml:space="preserve"> per multi-slot span</w:t>
      </w:r>
    </w:p>
    <w:p w14:paraId="0AED2E8B" w14:textId="71BDAD63" w:rsidR="00DE5BB0" w:rsidRPr="000E4A86" w:rsidRDefault="00DE5BB0" w:rsidP="00DE5BB0">
      <w:pPr>
        <w:pStyle w:val="a3"/>
        <w:rPr>
          <w:rFonts w:eastAsia="宋体"/>
          <w:sz w:val="22"/>
          <w:szCs w:val="22"/>
          <w:lang w:eastAsia="zh-CN"/>
        </w:rPr>
      </w:pPr>
      <w:r w:rsidRPr="000E4A86">
        <w:rPr>
          <w:sz w:val="22"/>
          <w:szCs w:val="22"/>
          <w:lang w:val="en-GB" w:eastAsia="x-none"/>
        </w:rPr>
        <w:t xml:space="preserve">When multi-slot PDCCH monitoring is introduced, there will be a related problem of PDCCH overbooking. </w:t>
      </w:r>
      <w:r w:rsidRPr="000E4A86">
        <w:rPr>
          <w:rFonts w:eastAsia="宋体"/>
          <w:sz w:val="22"/>
          <w:szCs w:val="22"/>
          <w:lang w:val="en-GB" w:eastAsia="x-none"/>
        </w:rPr>
        <w:t xml:space="preserve">In </w:t>
      </w:r>
      <w:r w:rsidRPr="000E4A86">
        <w:rPr>
          <w:sz w:val="22"/>
          <w:szCs w:val="22"/>
          <w:lang w:val="en-GB" w:eastAsia="x-none"/>
        </w:rPr>
        <w:t>NR Rel-15, the maximum number of BD</w:t>
      </w:r>
      <w:r w:rsidR="00EF4A25" w:rsidRPr="000E4A86">
        <w:rPr>
          <w:sz w:val="22"/>
          <w:szCs w:val="22"/>
          <w:lang w:val="en-GB" w:eastAsia="x-none"/>
        </w:rPr>
        <w:t>s</w:t>
      </w:r>
      <w:r w:rsidRPr="000E4A86">
        <w:rPr>
          <w:sz w:val="22"/>
          <w:szCs w:val="22"/>
          <w:lang w:val="en-GB" w:eastAsia="x-none"/>
        </w:rPr>
        <w:t xml:space="preserve">/CCE in a slot is determined based on the capability of the UE. For PCell or PSCell, it is allowed that the configured number of BDs/CCEs in a slot by the configuration of SS set(s) is larger than the corresponding maximum number. However, </w:t>
      </w:r>
      <w:r w:rsidRPr="000E4A86">
        <w:rPr>
          <w:rFonts w:eastAsia="等线"/>
          <w:sz w:val="22"/>
          <w:szCs w:val="22"/>
          <w:lang w:val="en-GB" w:eastAsia="zh-CN"/>
        </w:rPr>
        <w:t>f</w:t>
      </w:r>
      <w:r w:rsidRPr="000E4A86">
        <w:rPr>
          <w:sz w:val="22"/>
          <w:szCs w:val="22"/>
          <w:lang w:val="en-GB" w:eastAsia="x-none"/>
        </w:rPr>
        <w:t xml:space="preserve">or a SCell, the </w:t>
      </w:r>
      <w:r w:rsidRPr="000E4A86">
        <w:rPr>
          <w:rFonts w:eastAsia="Times New Roman"/>
          <w:sz w:val="22"/>
          <w:szCs w:val="22"/>
          <w:lang w:val="en-GB" w:eastAsia="x-none"/>
        </w:rPr>
        <w:t>gNB</w:t>
      </w:r>
      <w:r w:rsidRPr="000E4A86">
        <w:rPr>
          <w:sz w:val="22"/>
          <w:szCs w:val="22"/>
          <w:lang w:val="en-GB" w:eastAsia="x-none"/>
        </w:rPr>
        <w:t xml:space="preserve"> should guarantee that </w:t>
      </w:r>
      <w:r w:rsidRPr="000E4A86">
        <w:rPr>
          <w:rFonts w:eastAsia="宋体"/>
          <w:sz w:val="22"/>
          <w:szCs w:val="22"/>
          <w:lang w:eastAsia="zh-CN"/>
        </w:rPr>
        <w:t xml:space="preserve">numbers of monitored PDCCH candidates and non-overlapped CCEs </w:t>
      </w:r>
      <w:r w:rsidR="001E3134" w:rsidRPr="000E4A86">
        <w:rPr>
          <w:rFonts w:eastAsia="宋体"/>
          <w:sz w:val="22"/>
          <w:szCs w:val="22"/>
          <w:lang w:eastAsia="zh-CN"/>
        </w:rPr>
        <w:t>single-slot</w:t>
      </w:r>
      <w:r w:rsidRPr="000E4A86">
        <w:rPr>
          <w:rFonts w:eastAsia="宋体"/>
          <w:sz w:val="22"/>
          <w:szCs w:val="22"/>
          <w:lang w:eastAsia="zh-CN"/>
        </w:rPr>
        <w:t xml:space="preserve"> or</w:t>
      </w:r>
      <w:r w:rsidR="001E3134" w:rsidRPr="000E4A86">
        <w:rPr>
          <w:rFonts w:eastAsia="宋体"/>
          <w:sz w:val="22"/>
          <w:szCs w:val="22"/>
          <w:lang w:eastAsia="zh-CN"/>
        </w:rPr>
        <w:t xml:space="preserve"> multi-slot</w:t>
      </w:r>
      <w:r w:rsidRPr="000E4A86">
        <w:rPr>
          <w:rFonts w:eastAsia="宋体"/>
          <w:sz w:val="22"/>
          <w:szCs w:val="22"/>
          <w:lang w:eastAsia="zh-CN"/>
        </w:rPr>
        <w:t xml:space="preserve"> that </w:t>
      </w:r>
      <w:r w:rsidRPr="000E4A86">
        <w:rPr>
          <w:sz w:val="22"/>
          <w:szCs w:val="22"/>
          <w:lang w:val="en-GB" w:eastAsia="x-none"/>
        </w:rPr>
        <w:t>do not</w:t>
      </w:r>
      <w:r w:rsidRPr="000E4A86">
        <w:rPr>
          <w:rFonts w:eastAsia="宋体"/>
          <w:sz w:val="22"/>
          <w:szCs w:val="22"/>
          <w:lang w:eastAsia="zh-CN"/>
        </w:rPr>
        <w:t xml:space="preserve"> exceed the corresponding maximum numbers </w:t>
      </w:r>
      <w:r w:rsidR="001E3134" w:rsidRPr="000E4A86">
        <w:rPr>
          <w:rFonts w:eastAsia="宋体"/>
          <w:sz w:val="22"/>
          <w:szCs w:val="22"/>
          <w:lang w:eastAsia="zh-CN"/>
        </w:rPr>
        <w:t>single-slot</w:t>
      </w:r>
      <w:r w:rsidRPr="000E4A86">
        <w:rPr>
          <w:rFonts w:eastAsia="宋体"/>
          <w:sz w:val="22"/>
          <w:szCs w:val="22"/>
          <w:lang w:eastAsia="zh-CN"/>
        </w:rPr>
        <w:t xml:space="preserve"> or </w:t>
      </w:r>
      <w:r w:rsidR="001E3134" w:rsidRPr="000E4A86">
        <w:rPr>
          <w:rFonts w:eastAsia="宋体"/>
          <w:sz w:val="22"/>
          <w:szCs w:val="22"/>
          <w:lang w:eastAsia="zh-CN"/>
        </w:rPr>
        <w:t>multi-slot</w:t>
      </w:r>
      <w:r w:rsidRPr="000E4A86">
        <w:rPr>
          <w:rFonts w:eastAsia="宋体"/>
          <w:sz w:val="22"/>
          <w:szCs w:val="22"/>
          <w:lang w:eastAsia="zh-CN"/>
        </w:rPr>
        <w:t>, respectively.</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DE5BB0" w:rsidRPr="000E4A86" w14:paraId="3BC37655" w14:textId="77777777" w:rsidTr="00DE5BB0">
        <w:tc>
          <w:tcPr>
            <w:tcW w:w="9356" w:type="dxa"/>
            <w:shd w:val="clear" w:color="auto" w:fill="auto"/>
          </w:tcPr>
          <w:p w14:paraId="481F489D" w14:textId="6941BAE1" w:rsidR="00DE5BB0" w:rsidRPr="000E4A86" w:rsidRDefault="00DE5BB0" w:rsidP="0050537C">
            <w:pPr>
              <w:pStyle w:val="a3"/>
              <w:rPr>
                <w:rFonts w:eastAsia="宋体"/>
                <w:sz w:val="22"/>
                <w:szCs w:val="22"/>
                <w:lang w:eastAsia="zh-CN"/>
              </w:rPr>
            </w:pPr>
            <w:r w:rsidRPr="000E4A86">
              <w:rPr>
                <w:rFonts w:eastAsia="宋体" w:hint="eastAsia"/>
                <w:sz w:val="22"/>
                <w:szCs w:val="22"/>
                <w:lang w:eastAsia="zh-CN"/>
              </w:rPr>
              <w:t>TS</w:t>
            </w:r>
            <w:r w:rsidRPr="000E4A86">
              <w:rPr>
                <w:rFonts w:eastAsia="宋体"/>
                <w:sz w:val="22"/>
                <w:szCs w:val="22"/>
                <w:lang w:eastAsia="zh-CN"/>
              </w:rPr>
              <w:t xml:space="preserve"> </w:t>
            </w:r>
            <w:r w:rsidRPr="000E4A86">
              <w:rPr>
                <w:rFonts w:eastAsia="宋体" w:hint="eastAsia"/>
                <w:sz w:val="22"/>
                <w:szCs w:val="22"/>
                <w:lang w:eastAsia="zh-CN"/>
              </w:rPr>
              <w:t>38.213</w:t>
            </w:r>
            <w:r w:rsidRPr="000E4A86">
              <w:rPr>
                <w:rFonts w:eastAsia="宋体"/>
                <w:sz w:val="22"/>
                <w:szCs w:val="22"/>
                <w:lang w:eastAsia="zh-CN"/>
              </w:rPr>
              <w:t xml:space="preserve"> [</w:t>
            </w:r>
            <w:r w:rsidR="002F1E24" w:rsidRPr="000E4A86">
              <w:rPr>
                <w:rFonts w:eastAsia="宋体" w:hint="eastAsia"/>
                <w:sz w:val="22"/>
                <w:szCs w:val="22"/>
                <w:lang w:eastAsia="zh-CN"/>
              </w:rPr>
              <w:t>2</w:t>
            </w:r>
            <w:r w:rsidRPr="000E4A86">
              <w:rPr>
                <w:rFonts w:eastAsia="宋体"/>
                <w:sz w:val="22"/>
                <w:szCs w:val="22"/>
                <w:lang w:eastAsia="zh-CN"/>
              </w:rPr>
              <w:t>]</w:t>
            </w:r>
            <w:r w:rsidRPr="000E4A86">
              <w:rPr>
                <w:rFonts w:eastAsia="宋体" w:hint="eastAsia"/>
                <w:sz w:val="22"/>
                <w:szCs w:val="22"/>
                <w:lang w:eastAsia="zh-CN"/>
              </w:rPr>
              <w:t>:</w:t>
            </w:r>
          </w:p>
          <w:p w14:paraId="733178C3" w14:textId="77777777" w:rsidR="00DE5BB0" w:rsidRPr="000E4A86" w:rsidRDefault="00DE5BB0" w:rsidP="0050537C">
            <w:pPr>
              <w:pStyle w:val="a3"/>
              <w:rPr>
                <w:rFonts w:eastAsia="宋体"/>
                <w:sz w:val="22"/>
                <w:szCs w:val="22"/>
                <w:lang w:eastAsia="zh-CN"/>
              </w:rPr>
            </w:pPr>
            <w:r w:rsidRPr="000E4A86">
              <w:rPr>
                <w:rFonts w:eastAsia="宋体"/>
                <w:sz w:val="22"/>
                <w:szCs w:val="22"/>
                <w:lang w:eastAsia="zh-CN"/>
              </w:rPr>
              <w:t>A UE does not expect to be configured CSS sets that result to corresponding total, or per scheduled cell, numbers of monitored PDCCH candidates and non-overlapped CCEs per slot or per span that exceed the corresponding maximum numbers per slot or per span, respectively.</w:t>
            </w:r>
          </w:p>
          <w:p w14:paraId="4BF2C6DA" w14:textId="77777777" w:rsidR="00DE5BB0" w:rsidRPr="000E4A86" w:rsidRDefault="00DE5BB0" w:rsidP="0050537C">
            <w:pPr>
              <w:pStyle w:val="a3"/>
              <w:rPr>
                <w:rFonts w:eastAsia="宋体"/>
                <w:sz w:val="22"/>
                <w:szCs w:val="22"/>
                <w:lang w:eastAsia="zh-CN"/>
              </w:rPr>
            </w:pPr>
            <w:r w:rsidRPr="000E4A86">
              <w:rPr>
                <w:rFonts w:eastAsia="宋体"/>
                <w:sz w:val="22"/>
                <w:szCs w:val="22"/>
                <w:lang w:eastAsia="zh-CN"/>
              </w:rPr>
              <w:t>For same cell scheduling or for cross-carrier scheduling,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provided monitoringCapabilityConfig-r16 = r16monitoringcapability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w:t>
            </w:r>
          </w:p>
        </w:tc>
      </w:tr>
    </w:tbl>
    <w:p w14:paraId="549F6C40" w14:textId="77777777" w:rsidR="00DE5BB0" w:rsidRPr="000E4A86" w:rsidRDefault="00DE5BB0" w:rsidP="00DE5BB0">
      <w:pPr>
        <w:spacing w:before="120"/>
        <w:rPr>
          <w:lang w:val="en-GB" w:eastAsia="x-none"/>
        </w:rPr>
      </w:pPr>
      <w:r w:rsidRPr="000E4A86">
        <w:rPr>
          <w:lang w:val="en-GB" w:eastAsia="x-none"/>
        </w:rPr>
        <w:t>The similar rules could be extended to multi-slot span. For PCell or PSCell, it is allowed that the numbers of monitored PDCCH candidates and non-overlapped CCEs in a multi-slot span by the configuration of SS set(s) that exceed the corresponding maximum numbers.</w:t>
      </w:r>
      <w:r w:rsidRPr="000E4A86">
        <w:t xml:space="preserve"> </w:t>
      </w:r>
      <w:r w:rsidRPr="000E4A86">
        <w:rPr>
          <w:lang w:val="en-GB" w:eastAsia="x-none"/>
        </w:rPr>
        <w:t>Define certain dropping rules, so that the actual number in the multi-slots span does not exceed the corresponding maximum number.</w:t>
      </w:r>
    </w:p>
    <w:p w14:paraId="0308B722" w14:textId="4545E02D" w:rsidR="00DE5BB0" w:rsidRPr="000E4A86" w:rsidRDefault="00DE5BB0" w:rsidP="00DE5BB0">
      <w:pPr>
        <w:spacing w:before="120"/>
        <w:rPr>
          <w:lang w:val="en-GB" w:eastAsia="x-none"/>
        </w:rPr>
      </w:pPr>
      <w:r w:rsidRPr="000E4A86">
        <w:rPr>
          <w:b/>
          <w:bCs/>
          <w:i/>
          <w:lang w:val="en-GB" w:eastAsia="x-none"/>
        </w:rPr>
        <w:t xml:space="preserve">Proposal </w:t>
      </w:r>
      <w:r w:rsidR="000E4A86" w:rsidRPr="000E4A86">
        <w:rPr>
          <w:b/>
          <w:bCs/>
          <w:i/>
          <w:lang w:val="en-GB" w:eastAsia="x-none"/>
        </w:rPr>
        <w:t>1</w:t>
      </w:r>
      <w:r w:rsidRPr="000E4A86">
        <w:rPr>
          <w:b/>
          <w:bCs/>
          <w:i/>
          <w:lang w:val="en-GB" w:eastAsia="x-none"/>
        </w:rPr>
        <w:t>: PDCCH overbooking per-slot in NR Rel-15 can reused in multi-slot for beyond 52.6GHz</w:t>
      </w:r>
      <w:r w:rsidRPr="000E4A86">
        <w:rPr>
          <w:rFonts w:hint="eastAsia"/>
          <w:b/>
          <w:bCs/>
          <w:i/>
          <w:lang w:val="en-GB" w:eastAsia="x-none"/>
        </w:rPr>
        <w:t>.</w:t>
      </w:r>
    </w:p>
    <w:p w14:paraId="00664BB4" w14:textId="24CDC261" w:rsidR="00DE5BB0" w:rsidRPr="000E4A86" w:rsidRDefault="00DE5BB0" w:rsidP="00DE5BB0">
      <w:pPr>
        <w:rPr>
          <w:lang w:val="en-GB" w:eastAsia="x-none"/>
        </w:rPr>
      </w:pPr>
      <w:r w:rsidRPr="000E4A86">
        <w:rPr>
          <w:lang w:val="en-GB" w:eastAsia="x-none"/>
        </w:rPr>
        <w:t>In Rel-15, there is no dropping method applied to the CSS set for PCell/PSCell. Therefore,</w:t>
      </w:r>
      <w:r w:rsidRPr="000E4A86">
        <w:t xml:space="preserve"> </w:t>
      </w:r>
      <w:r w:rsidRPr="000E4A86">
        <w:rPr>
          <w:lang w:val="en-GB" w:eastAsia="x-none"/>
        </w:rPr>
        <w:t>the similar rule can be reused in multi-slot spans.</w:t>
      </w:r>
      <w:r w:rsidRPr="000E4A86">
        <w:t xml:space="preserve"> </w:t>
      </w:r>
      <w:r w:rsidRPr="000E4A86">
        <w:rPr>
          <w:lang w:val="en-GB" w:eastAsia="x-none"/>
        </w:rPr>
        <w:t>When handling USS sets, if the total number of BDs/CCEs exceeds the corresponding maximum number, the same principle as Rel-15 can be reused,</w:t>
      </w:r>
      <w:r w:rsidRPr="002122E7">
        <w:rPr>
          <w:b/>
          <w:lang w:val="en-GB" w:eastAsia="x-none"/>
        </w:rPr>
        <w:t xml:space="preserve"> </w:t>
      </w:r>
      <w:r w:rsidRPr="008D3F36">
        <w:rPr>
          <w:lang w:val="en-GB" w:eastAsia="x-none"/>
        </w:rPr>
        <w:t>namely dropping USS sets with high index of SS sets.</w:t>
      </w:r>
    </w:p>
    <w:p w14:paraId="6F72DC48" w14:textId="490380EA" w:rsidR="00DE5BB0" w:rsidRPr="008D3F36" w:rsidRDefault="00DE5BB0" w:rsidP="00DE5BB0">
      <w:pPr>
        <w:spacing w:before="120"/>
        <w:rPr>
          <w:b/>
          <w:bCs/>
          <w:i/>
          <w:lang w:val="en-GB" w:eastAsia="x-none"/>
        </w:rPr>
      </w:pPr>
      <w:r w:rsidRPr="008D3F36">
        <w:rPr>
          <w:b/>
          <w:bCs/>
          <w:i/>
          <w:lang w:val="en-GB" w:eastAsia="x-none"/>
        </w:rPr>
        <w:t xml:space="preserve">Proposal </w:t>
      </w:r>
      <w:r w:rsidR="000E4A86" w:rsidRPr="008D3F36">
        <w:rPr>
          <w:b/>
          <w:bCs/>
          <w:i/>
          <w:lang w:val="en-GB" w:eastAsia="x-none"/>
        </w:rPr>
        <w:t>2</w:t>
      </w:r>
      <w:r w:rsidRPr="008D3F36">
        <w:rPr>
          <w:b/>
          <w:bCs/>
          <w:i/>
          <w:lang w:val="en-GB" w:eastAsia="x-none"/>
        </w:rPr>
        <w:t>: It is expected</w:t>
      </w:r>
      <w:r w:rsidR="002A53E9">
        <w:rPr>
          <w:b/>
          <w:bCs/>
          <w:i/>
          <w:lang w:val="en-GB" w:eastAsia="x-none"/>
        </w:rPr>
        <w:t xml:space="preserve"> </w:t>
      </w:r>
      <w:r w:rsidR="002A53E9">
        <w:rPr>
          <w:rFonts w:hint="eastAsia"/>
          <w:b/>
          <w:bCs/>
          <w:i/>
          <w:lang w:val="en-GB" w:eastAsia="zh-CN"/>
        </w:rPr>
        <w:t>that</w:t>
      </w:r>
      <w:r w:rsidRPr="008D3F36">
        <w:rPr>
          <w:b/>
          <w:bCs/>
          <w:i/>
          <w:lang w:val="en-GB" w:eastAsia="x-none"/>
        </w:rPr>
        <w:t xml:space="preserve"> there is no dropping for CSS sets for PCell/PSCell in PDCCH overbooking.</w:t>
      </w:r>
    </w:p>
    <w:p w14:paraId="7AF2798C" w14:textId="11CC94E5" w:rsidR="008D3F36" w:rsidRDefault="00DE5BB0" w:rsidP="00DE5BB0">
      <w:pPr>
        <w:rPr>
          <w:b/>
          <w:bCs/>
          <w:i/>
          <w:lang w:val="en-GB" w:eastAsia="x-none"/>
        </w:rPr>
      </w:pPr>
      <w:r w:rsidRPr="008D3F36">
        <w:rPr>
          <w:b/>
          <w:bCs/>
          <w:i/>
          <w:lang w:val="en-GB" w:eastAsia="x-none"/>
        </w:rPr>
        <w:t xml:space="preserve">Proposal </w:t>
      </w:r>
      <w:r w:rsidR="000E4A86" w:rsidRPr="008D3F36">
        <w:rPr>
          <w:b/>
          <w:bCs/>
          <w:i/>
          <w:lang w:val="en-GB" w:eastAsia="x-none"/>
        </w:rPr>
        <w:t>3</w:t>
      </w:r>
      <w:r w:rsidRPr="008D3F36">
        <w:rPr>
          <w:b/>
          <w:bCs/>
          <w:i/>
          <w:lang w:val="en-GB" w:eastAsia="x-none"/>
        </w:rPr>
        <w:t xml:space="preserve">: </w:t>
      </w:r>
      <w:r w:rsidR="008D3F36">
        <w:rPr>
          <w:b/>
          <w:bCs/>
          <w:i/>
          <w:lang w:val="en-GB" w:eastAsia="x-none"/>
        </w:rPr>
        <w:t xml:space="preserve">For </w:t>
      </w:r>
      <w:r w:rsidR="008D3F36" w:rsidRPr="008D3F36">
        <w:rPr>
          <w:b/>
          <w:bCs/>
          <w:i/>
          <w:lang w:val="en-GB" w:eastAsia="x-none"/>
        </w:rPr>
        <w:t>USS</w:t>
      </w:r>
      <w:r w:rsidR="008D3F36">
        <w:rPr>
          <w:b/>
          <w:bCs/>
          <w:i/>
          <w:lang w:val="en-GB" w:eastAsia="x-none"/>
        </w:rPr>
        <w:t xml:space="preserve"> sets, the same </w:t>
      </w:r>
      <w:r w:rsidR="008D3F36" w:rsidRPr="008D3F36">
        <w:rPr>
          <w:b/>
          <w:bCs/>
          <w:i/>
          <w:lang w:val="en-GB" w:eastAsia="x-none"/>
        </w:rPr>
        <w:t>dropping pr</w:t>
      </w:r>
      <w:r w:rsidR="008D3F36">
        <w:rPr>
          <w:b/>
          <w:bCs/>
          <w:i/>
          <w:lang w:val="en-GB" w:eastAsia="x-none"/>
        </w:rPr>
        <w:t>inciple as Rel-15 can be reused as baseline.</w:t>
      </w:r>
    </w:p>
    <w:p w14:paraId="2D980FC4" w14:textId="49F77248" w:rsidR="00DE5BB0" w:rsidRPr="000E4A86" w:rsidRDefault="00DE5BB0" w:rsidP="002122E7">
      <w:pPr>
        <w:pStyle w:val="B1"/>
        <w:overflowPunct w:val="0"/>
        <w:autoSpaceDE w:val="0"/>
        <w:autoSpaceDN w:val="0"/>
        <w:adjustRightInd w:val="0"/>
        <w:spacing w:after="120"/>
        <w:ind w:left="0" w:firstLine="0"/>
        <w:jc w:val="both"/>
        <w:textAlignment w:val="baseline"/>
        <w:rPr>
          <w:b/>
          <w:bCs/>
          <w:i/>
          <w:sz w:val="22"/>
          <w:szCs w:val="22"/>
          <w:lang w:eastAsia="x-none"/>
        </w:rPr>
      </w:pPr>
    </w:p>
    <w:p w14:paraId="23F15737" w14:textId="78D918A1" w:rsidR="00DE5BB0" w:rsidRPr="000E4A86" w:rsidRDefault="00DE5BB0" w:rsidP="00754DCD">
      <w:pPr>
        <w:pStyle w:val="20"/>
        <w:widowControl w:val="0"/>
        <w:numPr>
          <w:ilvl w:val="1"/>
          <w:numId w:val="35"/>
        </w:numPr>
        <w:tabs>
          <w:tab w:val="num" w:pos="576"/>
        </w:tabs>
        <w:autoSpaceDE/>
        <w:autoSpaceDN/>
        <w:adjustRightInd/>
        <w:snapToGrid/>
        <w:ind w:left="578" w:hanging="578"/>
        <w:jc w:val="left"/>
      </w:pPr>
      <w:r w:rsidRPr="000E4A86">
        <w:t>SS switching</w:t>
      </w:r>
      <w:bookmarkStart w:id="6" w:name="OLE_LINK33"/>
      <w:bookmarkStart w:id="7" w:name="OLE_LINK34"/>
      <w:r w:rsidRPr="000E4A86">
        <w:t xml:space="preserve"> between single-slot and multi-slot</w:t>
      </w:r>
      <w:bookmarkEnd w:id="6"/>
      <w:bookmarkEnd w:id="7"/>
    </w:p>
    <w:p w14:paraId="7CABABEC" w14:textId="6B59D87E" w:rsidR="00DE5BB0" w:rsidRPr="000E4A86" w:rsidRDefault="00754DCD" w:rsidP="00DE5BB0">
      <w:r w:rsidRPr="000E4A86">
        <w:t>M</w:t>
      </w:r>
      <w:r w:rsidR="00DE5BB0" w:rsidRPr="000E4A86">
        <w:t xml:space="preserve">any of the UE capabilities are already numerology dependent and the “slot” is commonly used as a reference time grid to confine the capabilities. On the other hand, if the UE is expected to monitor PDCCH in every slot, the micro-sleep opportunities decrease due to the short slot length for the high SCS and the power efficiency during the connected mode would be degraded. Therefore, for the high SCSs, multi-slot can be considered to confine the UE capabilities. </w:t>
      </w:r>
      <w:r w:rsidR="00DE5BB0" w:rsidRPr="000E4A86">
        <w:rPr>
          <w:rFonts w:ascii="宋体" w:eastAsia="宋体" w:hAnsi="宋体" w:cs="宋体" w:hint="eastAsia"/>
          <w:lang w:eastAsia="zh-CN"/>
        </w:rPr>
        <w:t>I</w:t>
      </w:r>
      <w:r w:rsidR="00DE5BB0" w:rsidRPr="000E4A86">
        <w:t xml:space="preserve">n conclusion, it is desirable to support both </w:t>
      </w:r>
      <w:r w:rsidR="001E3134" w:rsidRPr="000E4A86">
        <w:t>single-slot</w:t>
      </w:r>
      <w:r w:rsidR="00DE5BB0" w:rsidRPr="000E4A86">
        <w:t xml:space="preserve"> and multi-slot PDCCH monitoring </w:t>
      </w:r>
      <w:r w:rsidRPr="000E4A86">
        <w:t>capabilities for different SCSs</w:t>
      </w:r>
      <w:r w:rsidR="00DE5BB0" w:rsidRPr="000E4A86">
        <w:t>.</w:t>
      </w:r>
    </w:p>
    <w:p w14:paraId="5F08EFF7" w14:textId="1DF2DA10" w:rsidR="00DE5BB0" w:rsidRPr="000E4A86" w:rsidRDefault="00DE5BB0" w:rsidP="00DE5BB0">
      <w:r w:rsidRPr="000E4A86">
        <w:t xml:space="preserve">Each search space set group may be configured for either </w:t>
      </w:r>
      <w:r w:rsidR="001E3134" w:rsidRPr="000E4A86">
        <w:t>single-slot</w:t>
      </w:r>
      <w:r w:rsidRPr="000E4A86">
        <w:t xml:space="preserve"> or </w:t>
      </w:r>
      <w:r w:rsidR="00754DCD" w:rsidRPr="000E4A86">
        <w:t>multi-slot</w:t>
      </w:r>
      <w:r w:rsidRPr="000E4A86">
        <w:t xml:space="preserve"> PDCCH monitoring. </w:t>
      </w:r>
      <w:r w:rsidRPr="000E4A86">
        <w:rPr>
          <w:rFonts w:hint="eastAsia"/>
        </w:rPr>
        <w:t>In</w:t>
      </w:r>
      <w:r w:rsidRPr="000E4A86">
        <w:t xml:space="preserve"> </w:t>
      </w:r>
      <w:r w:rsidR="001E3134" w:rsidRPr="000E4A86">
        <w:t xml:space="preserve">unlicensed band, if the band is detected as free, </w:t>
      </w:r>
      <w:r w:rsidR="00754DCD" w:rsidRPr="000E4A86">
        <w:t>i</w:t>
      </w:r>
      <w:r w:rsidRPr="000E4A86">
        <w:t>t is better to transmit the PDCCH frequently</w:t>
      </w:r>
      <w:r w:rsidR="001E3134" w:rsidRPr="000E4A86">
        <w:t xml:space="preserve"> since the will help UE to access the unlicensed spectrum as soon as possible</w:t>
      </w:r>
      <w:r w:rsidRPr="000E4A86">
        <w:t xml:space="preserve">. However, when the unlicensed </w:t>
      </w:r>
      <w:r w:rsidR="001E3134" w:rsidRPr="000E4A86">
        <w:t>band</w:t>
      </w:r>
      <w:r w:rsidRPr="000E4A86">
        <w:t xml:space="preserve"> is </w:t>
      </w:r>
      <w:r w:rsidR="001E3134" w:rsidRPr="000E4A86">
        <w:t>busy</w:t>
      </w:r>
      <w:r w:rsidRPr="000E4A86">
        <w:t xml:space="preserve">, a sparse PDCCH monitoring occasion is </w:t>
      </w:r>
      <w:r w:rsidR="001E3134" w:rsidRPr="000E4A86">
        <w:t>helpful</w:t>
      </w:r>
      <w:r w:rsidRPr="000E4A86">
        <w:t xml:space="preserve"> to the </w:t>
      </w:r>
      <w:r w:rsidR="001E3134" w:rsidRPr="000E4A86">
        <w:t>power saving</w:t>
      </w:r>
      <w:r w:rsidRPr="000E4A86">
        <w:t xml:space="preserve">. Therefore, search space set group switching will provide more dynamic transition between </w:t>
      </w:r>
      <w:r w:rsidR="001E3134" w:rsidRPr="000E4A86">
        <w:t>single-slot</w:t>
      </w:r>
      <w:r w:rsidRPr="000E4A86">
        <w:t xml:space="preserve"> and </w:t>
      </w:r>
      <w:r w:rsidR="001E3134" w:rsidRPr="000E4A86">
        <w:t>multi-slot</w:t>
      </w:r>
      <w:r w:rsidR="00C93C48" w:rsidRPr="000E4A86">
        <w:t xml:space="preserve"> PDCCH monitoring, therefore, we slightly prefer to support it. </w:t>
      </w:r>
      <w:r w:rsidR="00EF4A25" w:rsidRPr="000E4A86">
        <w:t>As suggested by the FL, t</w:t>
      </w:r>
      <w:r w:rsidR="00C93C48" w:rsidRPr="000E4A86">
        <w:t>his issue can be discussed after progress on BD capability and N1 timeline.</w:t>
      </w:r>
    </w:p>
    <w:p w14:paraId="2361C826" w14:textId="77777777" w:rsidR="00DE5BB0" w:rsidRPr="000E4A86" w:rsidRDefault="00DE5BB0" w:rsidP="00DE5BB0">
      <w:pPr>
        <w:spacing w:before="120"/>
        <w:rPr>
          <w:b/>
          <w:bCs/>
          <w:i/>
          <w:lang w:eastAsia="x-none"/>
        </w:rPr>
      </w:pPr>
    </w:p>
    <w:p w14:paraId="6B7337F9" w14:textId="1C3B58DE" w:rsidR="00DE5BB0" w:rsidRPr="000E4A86" w:rsidRDefault="00DE5BB0" w:rsidP="00754DCD">
      <w:pPr>
        <w:pStyle w:val="20"/>
        <w:widowControl w:val="0"/>
        <w:numPr>
          <w:ilvl w:val="1"/>
          <w:numId w:val="35"/>
        </w:numPr>
        <w:tabs>
          <w:tab w:val="num" w:pos="576"/>
        </w:tabs>
        <w:autoSpaceDE/>
        <w:autoSpaceDN/>
        <w:adjustRightInd/>
        <w:snapToGrid/>
        <w:ind w:left="578" w:hanging="578"/>
        <w:jc w:val="left"/>
      </w:pPr>
      <w:r w:rsidRPr="000E4A86">
        <w:t>Cross-carrier scheduling</w:t>
      </w:r>
    </w:p>
    <w:p w14:paraId="1F4B434A" w14:textId="6F0B885A" w:rsidR="00BA1256" w:rsidRPr="000E4A86" w:rsidRDefault="00DE5BB0" w:rsidP="00DE5BB0">
      <w:r w:rsidRPr="000E4A86">
        <w:t xml:space="preserve">Cross-carrier scheduling is useful for NR. Therefore, it is expected that cross-carrier scheduling between serving cells using SCS 120/480/960kHz can be supported. In the CA case, due to different SCS, some cells are based on </w:t>
      </w:r>
      <w:r w:rsidR="001E3134" w:rsidRPr="000E4A86">
        <w:t>single-slot</w:t>
      </w:r>
      <w:r w:rsidRPr="000E4A86">
        <w:t xml:space="preserve"> PDCCH monitoring, some ones are based on multi-slot PDCCH monitoring, and some are based on </w:t>
      </w:r>
      <w:r w:rsidR="001E3134" w:rsidRPr="000E4A86">
        <w:t>multi-slot</w:t>
      </w:r>
      <w:r w:rsidRPr="000E4A86">
        <w:t xml:space="preserve"> PDCCH monitoring, even the number of slot in the multi-slot is not same in different cells. One discussion point is how to determine the number of monitored PDCCH candidates and non-overlapping CCE for different cells combine in the CA scenario.</w:t>
      </w:r>
      <w:r w:rsidRPr="000E4A86">
        <w:rPr>
          <w:rFonts w:hint="eastAsia"/>
        </w:rPr>
        <w:t xml:space="preserve"> </w:t>
      </w:r>
      <w:r w:rsidRPr="000E4A86">
        <w:t>In addition, another point of discussion is carrier aggregation (CA) between cells with frequencies of 52.6-71GHz and FR2 or even FR1 cells. Such CA scenario could be supported, especially considering PCells below 52.6-71GHz are more appropriate for coverage/robustness.</w:t>
      </w:r>
      <w:r w:rsidR="00BA1256" w:rsidRPr="000E4A86">
        <w:t xml:space="preserve"> </w:t>
      </w:r>
    </w:p>
    <w:p w14:paraId="3E374E82" w14:textId="237E96F3" w:rsidR="00DE5BB0" w:rsidRPr="000E4A86" w:rsidRDefault="00BA1256" w:rsidP="00DE5BB0">
      <w:r w:rsidRPr="000E4A86">
        <w:rPr>
          <w:lang w:eastAsia="zh-CN"/>
        </w:rPr>
        <w:t>I</w:t>
      </w:r>
      <w:r w:rsidRPr="000E4A86">
        <w:rPr>
          <w:rFonts w:hint="eastAsia"/>
          <w:lang w:eastAsia="zh-CN"/>
        </w:rPr>
        <w:t>n</w:t>
      </w:r>
      <w:r w:rsidRPr="000E4A86">
        <w:t xml:space="preserve"> the last meeting, the limitation (i.e., </w:t>
      </w:r>
      <w:r w:rsidRPr="000E4A86">
        <w:rPr>
          <w:lang w:val="en-GB"/>
        </w:rPr>
        <w:t>|</w:t>
      </w:r>
      <w:r w:rsidRPr="000E4A86">
        <w:rPr>
          <w:i/>
          <w:lang w:val="en-GB"/>
        </w:rPr>
        <w:t>μ</w:t>
      </w:r>
      <w:r w:rsidRPr="000E4A86">
        <w:rPr>
          <w:i/>
          <w:vertAlign w:val="subscript"/>
          <w:lang w:val="en-GB"/>
        </w:rPr>
        <w:t>PDCCH</w:t>
      </w:r>
      <w:r w:rsidRPr="000E4A86">
        <w:rPr>
          <w:lang w:val="en-GB"/>
        </w:rPr>
        <w:t xml:space="preserve"> − </w:t>
      </w:r>
      <w:r w:rsidRPr="000E4A86">
        <w:rPr>
          <w:i/>
          <w:lang w:val="en-GB"/>
        </w:rPr>
        <w:t>μ</w:t>
      </w:r>
      <w:r w:rsidRPr="000E4A86">
        <w:rPr>
          <w:i/>
          <w:vertAlign w:val="subscript"/>
          <w:lang w:val="en-GB"/>
        </w:rPr>
        <w:t>PDSCH</w:t>
      </w:r>
      <w:r w:rsidRPr="000E4A86">
        <w:rPr>
          <w:lang w:val="en-GB"/>
        </w:rPr>
        <w:t xml:space="preserve"> | ≤ k</w:t>
      </w:r>
      <w:r w:rsidRPr="000E4A86">
        <w:t xml:space="preserve">) for cross-carrier scheduling was discussed, and the candidate values for k are 3 and 4. For us, k = 3 is preferred, </w:t>
      </w:r>
      <w:r w:rsidR="00754DCD" w:rsidRPr="000E4A86">
        <w:t>since</w:t>
      </w:r>
      <w:r w:rsidRPr="000E4A86">
        <w:t xml:space="preserve"> this value is benefit for</w:t>
      </w:r>
      <w:r w:rsidR="00754DCD" w:rsidRPr="000E4A86">
        <w:t xml:space="preserve"> the</w:t>
      </w:r>
      <w:r w:rsidRPr="000E4A86">
        <w:t xml:space="preserve"> processing</w:t>
      </w:r>
      <w:r w:rsidR="00754DCD" w:rsidRPr="000E4A86">
        <w:t xml:space="preserve"> timeline and memory requirement.</w:t>
      </w:r>
    </w:p>
    <w:p w14:paraId="20A85149" w14:textId="4459CDB9" w:rsidR="00DE5BB0" w:rsidRPr="000E4A86" w:rsidRDefault="00DE5BB0" w:rsidP="00DE5BB0">
      <w:pPr>
        <w:rPr>
          <w:b/>
          <w:bCs/>
          <w:i/>
          <w:lang w:eastAsia="x-none"/>
        </w:rPr>
      </w:pPr>
      <w:r w:rsidRPr="000E4A86">
        <w:rPr>
          <w:b/>
          <w:bCs/>
          <w:i/>
          <w:lang w:eastAsia="x-none"/>
        </w:rPr>
        <w:t xml:space="preserve">Proposal </w:t>
      </w:r>
      <w:r w:rsidR="008D3F36">
        <w:rPr>
          <w:b/>
          <w:bCs/>
          <w:i/>
          <w:lang w:eastAsia="x-none"/>
        </w:rPr>
        <w:t>2</w:t>
      </w:r>
      <w:r w:rsidRPr="000E4A86">
        <w:rPr>
          <w:b/>
          <w:bCs/>
          <w:i/>
          <w:lang w:eastAsia="x-none"/>
        </w:rPr>
        <w:t xml:space="preserve">: </w:t>
      </w:r>
      <w:r w:rsidR="00BA1256" w:rsidRPr="000E4A86">
        <w:rPr>
          <w:b/>
          <w:bCs/>
          <w:i/>
          <w:lang w:eastAsia="x-none"/>
        </w:rPr>
        <w:t>For cross-carrier scheduling, k=3 is preferred.</w:t>
      </w:r>
    </w:p>
    <w:p w14:paraId="4871A3B3" w14:textId="77777777" w:rsidR="00B41E7E" w:rsidRPr="000E4A86" w:rsidRDefault="00B41E7E" w:rsidP="00F91818">
      <w:pPr>
        <w:spacing w:beforeLines="50" w:before="120" w:after="100"/>
        <w:rPr>
          <w:rFonts w:eastAsia="Times New Roman"/>
          <w:b/>
          <w:i/>
          <w:lang w:eastAsia="zh-CN"/>
        </w:rPr>
      </w:pPr>
    </w:p>
    <w:p w14:paraId="50DA8A6B" w14:textId="77777777" w:rsidR="00B41E7E" w:rsidRPr="000E4A86" w:rsidRDefault="00B41E7E" w:rsidP="00F530CE">
      <w:pPr>
        <w:spacing w:after="100"/>
        <w:rPr>
          <w:b/>
          <w:i/>
          <w:lang w:eastAsia="zh-CN"/>
        </w:rPr>
      </w:pPr>
    </w:p>
    <w:p w14:paraId="1B27FFF9" w14:textId="77777777" w:rsidR="005A5409" w:rsidRPr="000E4A86" w:rsidRDefault="005A5409" w:rsidP="004C0F4F">
      <w:pPr>
        <w:pStyle w:val="1"/>
        <w:spacing w:after="100"/>
        <w:rPr>
          <w:lang w:eastAsia="zh-CN"/>
        </w:rPr>
      </w:pPr>
      <w:bookmarkStart w:id="8" w:name="_Ref494215420"/>
      <w:bookmarkStart w:id="9" w:name="_Ref502921678"/>
      <w:bookmarkStart w:id="10" w:name="_Ref502921460"/>
      <w:bookmarkEnd w:id="4"/>
      <w:bookmarkEnd w:id="5"/>
      <w:r w:rsidRPr="000E4A86">
        <w:rPr>
          <w:lang w:eastAsia="zh-CN"/>
        </w:rPr>
        <w:t>Conclusion</w:t>
      </w:r>
    </w:p>
    <w:p w14:paraId="0232BE4D" w14:textId="107FB0C0" w:rsidR="005A5409" w:rsidRPr="000E4A86" w:rsidRDefault="005A5409" w:rsidP="004C0F4F">
      <w:pPr>
        <w:spacing w:after="100"/>
        <w:rPr>
          <w:lang w:eastAsia="zh-CN"/>
        </w:rPr>
      </w:pPr>
      <w:r w:rsidRPr="000E4A86">
        <w:rPr>
          <w:lang w:eastAsia="zh-CN"/>
        </w:rPr>
        <w:t xml:space="preserve">Based </w:t>
      </w:r>
      <w:r w:rsidRPr="000E4A86">
        <w:rPr>
          <w:kern w:val="2"/>
          <w:lang w:eastAsia="zh-CN"/>
        </w:rPr>
        <w:t>on the analyses and discussions, we have t</w:t>
      </w:r>
      <w:r w:rsidRPr="000E4A86">
        <w:rPr>
          <w:lang w:eastAsia="zh-CN"/>
        </w:rPr>
        <w:t>he following</w:t>
      </w:r>
      <w:r w:rsidR="00173100" w:rsidRPr="000E4A86">
        <w:rPr>
          <w:lang w:eastAsia="zh-CN"/>
        </w:rPr>
        <w:t xml:space="preserve"> </w:t>
      </w:r>
      <w:r w:rsidRPr="000E4A86">
        <w:rPr>
          <w:lang w:eastAsia="zh-CN"/>
        </w:rPr>
        <w:t>proposals:</w:t>
      </w:r>
    </w:p>
    <w:p w14:paraId="58301696" w14:textId="77777777" w:rsidR="002A53E9" w:rsidRPr="000E4A86" w:rsidRDefault="002A53E9" w:rsidP="002A53E9">
      <w:pPr>
        <w:spacing w:before="120"/>
        <w:rPr>
          <w:lang w:val="en-GB" w:eastAsia="x-none"/>
        </w:rPr>
      </w:pPr>
      <w:r w:rsidRPr="000E4A86">
        <w:rPr>
          <w:b/>
          <w:bCs/>
          <w:i/>
          <w:lang w:val="en-GB" w:eastAsia="x-none"/>
        </w:rPr>
        <w:t>Proposal 1: PDCCH overbooking per-slot in NR Rel-15 can reused in multi-slot for beyond 52.6GHz</w:t>
      </w:r>
      <w:r w:rsidRPr="000E4A86">
        <w:rPr>
          <w:rFonts w:hint="eastAsia"/>
          <w:b/>
          <w:bCs/>
          <w:i/>
          <w:lang w:val="en-GB" w:eastAsia="x-none"/>
        </w:rPr>
        <w:t>.</w:t>
      </w:r>
    </w:p>
    <w:p w14:paraId="47DF6E21" w14:textId="77777777" w:rsidR="002A53E9" w:rsidRPr="008D3F36" w:rsidRDefault="002A53E9" w:rsidP="002A53E9">
      <w:pPr>
        <w:spacing w:before="120"/>
        <w:rPr>
          <w:b/>
          <w:bCs/>
          <w:i/>
          <w:lang w:val="en-GB" w:eastAsia="x-none"/>
        </w:rPr>
      </w:pPr>
      <w:r w:rsidRPr="008D3F36">
        <w:rPr>
          <w:b/>
          <w:bCs/>
          <w:i/>
          <w:lang w:val="en-GB" w:eastAsia="x-none"/>
        </w:rPr>
        <w:t>Proposal 2: It is expected</w:t>
      </w:r>
      <w:r>
        <w:rPr>
          <w:b/>
          <w:bCs/>
          <w:i/>
          <w:lang w:val="en-GB" w:eastAsia="x-none"/>
        </w:rPr>
        <w:t xml:space="preserve"> </w:t>
      </w:r>
      <w:r>
        <w:rPr>
          <w:rFonts w:hint="eastAsia"/>
          <w:b/>
          <w:bCs/>
          <w:i/>
          <w:lang w:val="en-GB" w:eastAsia="zh-CN"/>
        </w:rPr>
        <w:t>that</w:t>
      </w:r>
      <w:r w:rsidRPr="008D3F36">
        <w:rPr>
          <w:b/>
          <w:bCs/>
          <w:i/>
          <w:lang w:val="en-GB" w:eastAsia="x-none"/>
        </w:rPr>
        <w:t xml:space="preserve"> there is no dropping for CSS sets for PCell/PSCell in PDCCH overbooking.</w:t>
      </w:r>
    </w:p>
    <w:p w14:paraId="6190C892" w14:textId="77777777" w:rsidR="002A53E9" w:rsidRDefault="002A53E9" w:rsidP="002A53E9">
      <w:pPr>
        <w:rPr>
          <w:b/>
          <w:bCs/>
          <w:i/>
          <w:lang w:val="en-GB" w:eastAsia="x-none"/>
        </w:rPr>
      </w:pPr>
      <w:r w:rsidRPr="008D3F36">
        <w:rPr>
          <w:b/>
          <w:bCs/>
          <w:i/>
          <w:lang w:val="en-GB" w:eastAsia="x-none"/>
        </w:rPr>
        <w:t xml:space="preserve">Proposal 3: </w:t>
      </w:r>
      <w:r>
        <w:rPr>
          <w:b/>
          <w:bCs/>
          <w:i/>
          <w:lang w:val="en-GB" w:eastAsia="x-none"/>
        </w:rPr>
        <w:t xml:space="preserve">For </w:t>
      </w:r>
      <w:r w:rsidRPr="008D3F36">
        <w:rPr>
          <w:b/>
          <w:bCs/>
          <w:i/>
          <w:lang w:val="en-GB" w:eastAsia="x-none"/>
        </w:rPr>
        <w:t>USS</w:t>
      </w:r>
      <w:r>
        <w:rPr>
          <w:b/>
          <w:bCs/>
          <w:i/>
          <w:lang w:val="en-GB" w:eastAsia="x-none"/>
        </w:rPr>
        <w:t xml:space="preserve"> sets, the same </w:t>
      </w:r>
      <w:r w:rsidRPr="008D3F36">
        <w:rPr>
          <w:b/>
          <w:bCs/>
          <w:i/>
          <w:lang w:val="en-GB" w:eastAsia="x-none"/>
        </w:rPr>
        <w:t>dropping pr</w:t>
      </w:r>
      <w:r>
        <w:rPr>
          <w:b/>
          <w:bCs/>
          <w:i/>
          <w:lang w:val="en-GB" w:eastAsia="x-none"/>
        </w:rPr>
        <w:t>inciple as Rel-15 can be reused as baseline.</w:t>
      </w:r>
    </w:p>
    <w:p w14:paraId="0A6B680D" w14:textId="77777777" w:rsidR="002A53E9" w:rsidRPr="000E4A86" w:rsidRDefault="002A53E9" w:rsidP="002A53E9">
      <w:pPr>
        <w:rPr>
          <w:b/>
          <w:bCs/>
          <w:i/>
          <w:lang w:eastAsia="x-none"/>
        </w:rPr>
      </w:pPr>
      <w:r w:rsidRPr="000E4A86">
        <w:rPr>
          <w:b/>
          <w:bCs/>
          <w:i/>
          <w:lang w:eastAsia="x-none"/>
        </w:rPr>
        <w:t xml:space="preserve">Proposal </w:t>
      </w:r>
      <w:r>
        <w:rPr>
          <w:b/>
          <w:bCs/>
          <w:i/>
          <w:lang w:eastAsia="x-none"/>
        </w:rPr>
        <w:t>2</w:t>
      </w:r>
      <w:r w:rsidRPr="000E4A86">
        <w:rPr>
          <w:b/>
          <w:bCs/>
          <w:i/>
          <w:lang w:eastAsia="x-none"/>
        </w:rPr>
        <w:t>: For cross-carrier scheduling, k=3 is preferred.</w:t>
      </w:r>
    </w:p>
    <w:p w14:paraId="22AFDA43" w14:textId="36E1C9A8" w:rsidR="00BD40FC" w:rsidRPr="002A53E9" w:rsidRDefault="00BD40FC" w:rsidP="004C0F4F">
      <w:pPr>
        <w:spacing w:after="100"/>
        <w:rPr>
          <w:lang w:eastAsia="zh-CN"/>
        </w:rPr>
      </w:pPr>
      <w:bookmarkStart w:id="11" w:name="_GoBack"/>
      <w:bookmarkEnd w:id="11"/>
    </w:p>
    <w:p w14:paraId="0F01F805" w14:textId="77777777" w:rsidR="00B41E7E" w:rsidRPr="000E4A86" w:rsidRDefault="00B41E7E" w:rsidP="004C0F4F">
      <w:pPr>
        <w:spacing w:after="100"/>
        <w:rPr>
          <w:lang w:eastAsia="zh-CN"/>
        </w:rPr>
      </w:pPr>
    </w:p>
    <w:p w14:paraId="500DACF0" w14:textId="77777777" w:rsidR="003531CC" w:rsidRPr="000E4A86" w:rsidRDefault="003531CC" w:rsidP="004C0F4F">
      <w:pPr>
        <w:pStyle w:val="1"/>
        <w:spacing w:after="100"/>
        <w:rPr>
          <w:lang w:eastAsia="zh-CN"/>
        </w:rPr>
      </w:pPr>
      <w:r w:rsidRPr="000E4A86">
        <w:rPr>
          <w:lang w:eastAsia="zh-CN"/>
        </w:rPr>
        <w:t xml:space="preserve">Reference </w:t>
      </w:r>
    </w:p>
    <w:bookmarkEnd w:id="8"/>
    <w:bookmarkEnd w:id="9"/>
    <w:bookmarkEnd w:id="10"/>
    <w:p w14:paraId="6491073D" w14:textId="52F70F27" w:rsidR="00B44AE8" w:rsidRPr="000E4A86" w:rsidRDefault="00BD7139" w:rsidP="00B41E7E">
      <w:pPr>
        <w:pStyle w:val="af3"/>
        <w:numPr>
          <w:ilvl w:val="0"/>
          <w:numId w:val="6"/>
        </w:numPr>
        <w:ind w:firstLineChars="0"/>
        <w:rPr>
          <w:lang w:eastAsia="zh-CN"/>
        </w:rPr>
      </w:pPr>
      <w:r w:rsidRPr="000E4A86">
        <w:rPr>
          <w:lang w:eastAsia="zh-CN"/>
        </w:rPr>
        <w:t xml:space="preserve">Chairman’s Notes, </w:t>
      </w:r>
      <w:r w:rsidR="0010608C" w:rsidRPr="000E4A86">
        <w:rPr>
          <w:rFonts w:hint="eastAsia"/>
          <w:lang w:eastAsia="zh-CN"/>
        </w:rPr>
        <w:t>R</w:t>
      </w:r>
      <w:r w:rsidR="00681091" w:rsidRPr="000E4A86">
        <w:rPr>
          <w:lang w:eastAsia="zh-CN"/>
        </w:rPr>
        <w:t>AN1#10</w:t>
      </w:r>
      <w:r w:rsidR="006657A3" w:rsidRPr="000E4A86">
        <w:rPr>
          <w:lang w:eastAsia="zh-CN"/>
        </w:rPr>
        <w:t>6</w:t>
      </w:r>
      <w:r w:rsidR="00B41E7E" w:rsidRPr="000E4A86">
        <w:rPr>
          <w:lang w:eastAsia="zh-CN"/>
        </w:rPr>
        <w:t>bis</w:t>
      </w:r>
      <w:r w:rsidRPr="000E4A86">
        <w:rPr>
          <w:lang w:eastAsia="zh-CN"/>
        </w:rPr>
        <w:t xml:space="preserve">, </w:t>
      </w:r>
      <w:r w:rsidR="00B41E7E" w:rsidRPr="000E4A86">
        <w:rPr>
          <w:lang w:eastAsia="zh-CN"/>
        </w:rPr>
        <w:t>e-Meeting</w:t>
      </w:r>
      <w:r w:rsidR="003357F9" w:rsidRPr="000E4A86">
        <w:rPr>
          <w:lang w:eastAsia="zh-CN"/>
        </w:rPr>
        <w:t>.</w:t>
      </w:r>
      <w:r w:rsidR="00175D76" w:rsidRPr="000E4A86">
        <w:rPr>
          <w:sz w:val="20"/>
        </w:rPr>
        <w:t xml:space="preserve"> 11</w:t>
      </w:r>
      <w:r w:rsidR="00175D76" w:rsidRPr="000E4A86">
        <w:rPr>
          <w:sz w:val="20"/>
          <w:vertAlign w:val="superscript"/>
        </w:rPr>
        <w:t>th</w:t>
      </w:r>
      <w:r w:rsidR="00175D76" w:rsidRPr="000E4A86">
        <w:rPr>
          <w:sz w:val="20"/>
        </w:rPr>
        <w:t xml:space="preserve"> - 19</w:t>
      </w:r>
      <w:r w:rsidR="00175D76" w:rsidRPr="000E4A86">
        <w:rPr>
          <w:sz w:val="20"/>
          <w:vertAlign w:val="superscript"/>
        </w:rPr>
        <w:t>th</w:t>
      </w:r>
      <w:r w:rsidR="00175D76" w:rsidRPr="000E4A86">
        <w:rPr>
          <w:sz w:val="20"/>
        </w:rPr>
        <w:t xml:space="preserve"> October 2021</w:t>
      </w:r>
    </w:p>
    <w:p w14:paraId="22B60BFF" w14:textId="11C8EAFC" w:rsidR="002F1E24" w:rsidRPr="000E4A86" w:rsidRDefault="00175D76" w:rsidP="00175D76">
      <w:pPr>
        <w:pStyle w:val="af3"/>
        <w:numPr>
          <w:ilvl w:val="0"/>
          <w:numId w:val="6"/>
        </w:numPr>
        <w:ind w:firstLineChars="0"/>
        <w:jc w:val="left"/>
        <w:rPr>
          <w:lang w:eastAsia="zh-CN"/>
        </w:rPr>
      </w:pPr>
      <w:r w:rsidRPr="000E4A86">
        <w:rPr>
          <w:lang w:eastAsia="zh-CN"/>
        </w:rPr>
        <w:t xml:space="preserve">TS 38.213 </w:t>
      </w:r>
      <w:r w:rsidRPr="000E4A86">
        <w:t>Physical layer procedures for control. v16.7.0, 2021-09.</w:t>
      </w:r>
    </w:p>
    <w:sectPr w:rsidR="002F1E24" w:rsidRPr="000E4A8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2E3EAC" w14:textId="77777777" w:rsidR="00F420F2" w:rsidRDefault="00F420F2">
      <w:r>
        <w:separator/>
      </w:r>
    </w:p>
  </w:endnote>
  <w:endnote w:type="continuationSeparator" w:id="0">
    <w:p w14:paraId="0F587978" w14:textId="77777777" w:rsidR="00F420F2" w:rsidRDefault="00F420F2">
      <w:r>
        <w:continuationSeparator/>
      </w:r>
    </w:p>
  </w:endnote>
  <w:endnote w:type="continuationNotice" w:id="1">
    <w:p w14:paraId="2B4DF1EF" w14:textId="77777777" w:rsidR="00F420F2" w:rsidRDefault="00F420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FD679" w14:textId="77777777" w:rsidR="00F420F2" w:rsidRDefault="00F420F2">
      <w:r>
        <w:separator/>
      </w:r>
    </w:p>
  </w:footnote>
  <w:footnote w:type="continuationSeparator" w:id="0">
    <w:p w14:paraId="3649D2C7" w14:textId="77777777" w:rsidR="00F420F2" w:rsidRDefault="00F420F2">
      <w:r>
        <w:continuationSeparator/>
      </w:r>
    </w:p>
  </w:footnote>
  <w:footnote w:type="continuationNotice" w:id="1">
    <w:p w14:paraId="1AB043D5" w14:textId="77777777" w:rsidR="00F420F2" w:rsidRDefault="00F420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C833CC"/>
    <w:multiLevelType w:val="multilevel"/>
    <w:tmpl w:val="5DB44570"/>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i w:val="0"/>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8"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F508F9"/>
    <w:multiLevelType w:val="hybridMultilevel"/>
    <w:tmpl w:val="552E34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31"/>
  </w:num>
  <w:num w:numId="3">
    <w:abstractNumId w:val="27"/>
  </w:num>
  <w:num w:numId="4">
    <w:abstractNumId w:val="29"/>
  </w:num>
  <w:num w:numId="5">
    <w:abstractNumId w:val="22"/>
  </w:num>
  <w:num w:numId="6">
    <w:abstractNumId w:val="9"/>
  </w:num>
  <w:num w:numId="7">
    <w:abstractNumId w:val="15"/>
  </w:num>
  <w:num w:numId="8">
    <w:abstractNumId w:val="30"/>
  </w:num>
  <w:num w:numId="9">
    <w:abstractNumId w:val="0"/>
  </w:num>
  <w:num w:numId="10">
    <w:abstractNumId w:val="16"/>
  </w:num>
  <w:num w:numId="11">
    <w:abstractNumId w:val="3"/>
  </w:num>
  <w:num w:numId="12">
    <w:abstractNumId w:val="24"/>
  </w:num>
  <w:num w:numId="13">
    <w:abstractNumId w:val="14"/>
  </w:num>
  <w:num w:numId="14">
    <w:abstractNumId w:val="26"/>
  </w:num>
  <w:num w:numId="15">
    <w:abstractNumId w:val="18"/>
  </w:num>
  <w:num w:numId="16">
    <w:abstractNumId w:val="8"/>
  </w:num>
  <w:num w:numId="17">
    <w:abstractNumId w:val="12"/>
  </w:num>
  <w:num w:numId="18">
    <w:abstractNumId w:val="20"/>
  </w:num>
  <w:num w:numId="19">
    <w:abstractNumId w:val="10"/>
  </w:num>
  <w:num w:numId="20">
    <w:abstractNumId w:val="2"/>
  </w:num>
  <w:num w:numId="21">
    <w:abstractNumId w:val="28"/>
  </w:num>
  <w:num w:numId="22">
    <w:abstractNumId w:val="6"/>
  </w:num>
  <w:num w:numId="23">
    <w:abstractNumId w:val="34"/>
  </w:num>
  <w:num w:numId="24">
    <w:abstractNumId w:val="5"/>
  </w:num>
  <w:num w:numId="25">
    <w:abstractNumId w:val="21"/>
  </w:num>
  <w:num w:numId="26">
    <w:abstractNumId w:val="7"/>
  </w:num>
  <w:num w:numId="27">
    <w:abstractNumId w:val="4"/>
  </w:num>
  <w:num w:numId="28">
    <w:abstractNumId w:val="13"/>
  </w:num>
  <w:num w:numId="29">
    <w:abstractNumId w:val="33"/>
  </w:num>
  <w:num w:numId="30">
    <w:abstractNumId w:val="1"/>
  </w:num>
  <w:num w:numId="31">
    <w:abstractNumId w:val="25"/>
  </w:num>
  <w:num w:numId="32">
    <w:abstractNumId w:val="23"/>
  </w:num>
  <w:num w:numId="33">
    <w:abstractNumId w:val="32"/>
  </w:num>
  <w:num w:numId="34">
    <w:abstractNumId w:val="17"/>
  </w:num>
  <w:num w:numId="35">
    <w:abstractNumId w:val="19"/>
  </w:num>
  <w:num w:numId="36">
    <w:abstractNumId w:val="22"/>
  </w:num>
  <w:num w:numId="3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A86"/>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0A"/>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5D76"/>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134"/>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2E7"/>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62"/>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3E9"/>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24"/>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3DA"/>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3EC"/>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37E5A"/>
    <w:rsid w:val="004409A3"/>
    <w:rsid w:val="00440FED"/>
    <w:rsid w:val="00441519"/>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6C78"/>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D6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DCD"/>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3FF0"/>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B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3F3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0FE"/>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256"/>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52"/>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4F32"/>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3C48"/>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1B5"/>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5BB0"/>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268"/>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A25"/>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0F2"/>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4">
    <w:name w:val="Body Text First Indent 2"/>
    <w:basedOn w:val="afc"/>
    <w:link w:val="25"/>
    <w:rsid w:val="00F44EFB"/>
    <w:pPr>
      <w:ind w:firstLineChars="200" w:firstLine="420"/>
    </w:pPr>
  </w:style>
  <w:style w:type="character" w:customStyle="1" w:styleId="25">
    <w:name w:val="正文首行缩进 2 字符"/>
    <w:basedOn w:val="afd"/>
    <w:link w:val="24"/>
    <w:rsid w:val="00F44EFB"/>
    <w:rPr>
      <w:sz w:val="22"/>
      <w:szCs w:val="22"/>
      <w:lang w:eastAsia="en-US"/>
    </w:rPr>
  </w:style>
  <w:style w:type="paragraph" w:styleId="21">
    <w:name w:val="List 2"/>
    <w:basedOn w:val="a9"/>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8"/>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2">
    <w:name w:val="endnote text"/>
    <w:basedOn w:val="a"/>
    <w:link w:val="aff3"/>
    <w:semiHidden/>
    <w:unhideWhenUsed/>
    <w:rsid w:val="00403C8B"/>
    <w:pPr>
      <w:jc w:val="left"/>
    </w:pPr>
  </w:style>
  <w:style w:type="character" w:customStyle="1" w:styleId="aff3">
    <w:name w:val="尾注文本 字符"/>
    <w:basedOn w:val="a0"/>
    <w:link w:val="aff2"/>
    <w:semiHidden/>
    <w:rsid w:val="00403C8B"/>
    <w:rPr>
      <w:sz w:val="22"/>
      <w:szCs w:val="22"/>
      <w:lang w:eastAsia="en-US"/>
    </w:rPr>
  </w:style>
  <w:style w:type="character" w:styleId="aff4">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e"/>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正文文本 字符"/>
    <w:basedOn w:val="a0"/>
    <w:link w:val="a3"/>
    <w:rsid w:val="00DE5B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5944B-071B-4153-9116-EB3370FF590B}">
  <ds:schemaRefs>
    <ds:schemaRef ds:uri="http://schemas.openxmlformats.org/officeDocument/2006/bibliography"/>
  </ds:schemaRefs>
</ds:datastoreItem>
</file>

<file path=customXml/itemProps2.xml><?xml version="1.0" encoding="utf-8"?>
<ds:datastoreItem xmlns:ds="http://schemas.openxmlformats.org/officeDocument/2006/customXml" ds:itemID="{C778CD21-7D88-49DE-8965-6E6366CC7455}">
  <ds:schemaRefs>
    <ds:schemaRef ds:uri="http://schemas.openxmlformats.org/officeDocument/2006/bibliography"/>
  </ds:schemaRefs>
</ds:datastoreItem>
</file>

<file path=customXml/itemProps3.xml><?xml version="1.0" encoding="utf-8"?>
<ds:datastoreItem xmlns:ds="http://schemas.openxmlformats.org/officeDocument/2006/customXml" ds:itemID="{4072EFF3-420F-4E90-9A78-AAB74D8D4D94}">
  <ds:schemaRefs>
    <ds:schemaRef ds:uri="http://schemas.openxmlformats.org/officeDocument/2006/bibliography"/>
  </ds:schemaRefs>
</ds:datastoreItem>
</file>

<file path=customXml/itemProps4.xml><?xml version="1.0" encoding="utf-8"?>
<ds:datastoreItem xmlns:ds="http://schemas.openxmlformats.org/officeDocument/2006/customXml" ds:itemID="{21D47A24-5733-44F7-9056-5085D26E3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1251</Words>
  <Characters>7132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2021-11-05T09:45:00Z</dcterms:created>
  <dcterms:modified xsi:type="dcterms:W3CDTF">2021-11-05T09:45:00Z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